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919B5" w:rsidRPr="009F52F1" w14:paraId="45466407" w14:textId="77777777" w:rsidTr="00A031FA">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F919B5" w:rsidRPr="00AF19B0" w14:paraId="5F70D6C9" w14:textId="77777777" w:rsidTr="007B4D94">
              <w:tc>
                <w:tcPr>
                  <w:tcW w:w="9298" w:type="dxa"/>
                  <w:vAlign w:val="center"/>
                </w:tcPr>
                <w:p w14:paraId="708F75DC" w14:textId="77777777" w:rsidR="00F919B5" w:rsidRDefault="00F919B5" w:rsidP="0057108F">
                  <w:pPr>
                    <w:pStyle w:val="CoverPageTitle"/>
                    <w:spacing w:before="0" w:after="0"/>
                    <w:contextualSpacing w:val="0"/>
                    <w:rPr>
                      <w:color w:val="003F72"/>
                    </w:rPr>
                  </w:pPr>
                  <w:r w:rsidRPr="00AF19B0">
                    <w:rPr>
                      <w:color w:val="003F72"/>
                    </w:rPr>
                    <w:t>Funding Request</w:t>
                  </w:r>
                  <w:r>
                    <w:rPr>
                      <w:color w:val="003F72"/>
                    </w:rPr>
                    <w:t xml:space="preserve"> Form</w:t>
                  </w:r>
                </w:p>
                <w:p w14:paraId="4AA96412" w14:textId="34EA4378" w:rsidR="00F919B5" w:rsidRPr="00AF19B0" w:rsidRDefault="00F919B5" w:rsidP="0057108F">
                  <w:pPr>
                    <w:pStyle w:val="CoverPageTitle"/>
                    <w:spacing w:before="0" w:after="0"/>
                    <w:contextualSpacing w:val="0"/>
                    <w:rPr>
                      <w:color w:val="003F72"/>
                    </w:rPr>
                  </w:pPr>
                  <w:r>
                    <w:rPr>
                      <w:color w:val="003F72"/>
                      <w:sz w:val="40"/>
                      <w:szCs w:val="40"/>
                    </w:rPr>
                    <w:t xml:space="preserve">Allocation </w:t>
                  </w:r>
                  <w:r w:rsidR="000663BB">
                    <w:rPr>
                      <w:color w:val="003F72"/>
                      <w:sz w:val="40"/>
                      <w:szCs w:val="40"/>
                    </w:rPr>
                    <w:t xml:space="preserve">Period </w:t>
                  </w:r>
                  <w:r>
                    <w:rPr>
                      <w:color w:val="003F72"/>
                      <w:sz w:val="40"/>
                      <w:szCs w:val="40"/>
                    </w:rPr>
                    <w:t>2020-2022</w:t>
                  </w:r>
                </w:p>
              </w:tc>
            </w:tr>
          </w:tbl>
          <w:p w14:paraId="06ECCB78" w14:textId="128D25F1" w:rsidR="00F919B5" w:rsidRPr="009F52F1" w:rsidRDefault="00A031FA" w:rsidP="0057108F">
            <w:pPr>
              <w:pStyle w:val="NormalNoSpace"/>
              <w:jc w:val="center"/>
              <w:rPr>
                <w:caps w:val="0"/>
              </w:rPr>
            </w:pPr>
            <w:r w:rsidRPr="009F52F1">
              <w:rPr>
                <w:noProof/>
              </w:rPr>
              <mc:AlternateContent>
                <mc:Choice Requires="wps">
                  <w:drawing>
                    <wp:anchor distT="0" distB="0" distL="114300" distR="114300" simplePos="0" relativeHeight="251659264" behindDoc="0" locked="0" layoutInCell="1" allowOverlap="1" wp14:anchorId="20ED6B22" wp14:editId="35BFB9BF">
                      <wp:simplePos x="0" y="0"/>
                      <wp:positionH relativeFrom="margin">
                        <wp:align>right</wp:align>
                      </wp:positionH>
                      <wp:positionV relativeFrom="margin">
                        <wp:align>center</wp:align>
                      </wp:positionV>
                      <wp:extent cx="576072"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6072"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FD984" w14:textId="2DC5C5A3" w:rsidR="00261D78" w:rsidRPr="009F52F1" w:rsidRDefault="00261D78" w:rsidP="00F919B5">
                                  <w:pPr>
                                    <w:jc w:val="center"/>
                                    <w:rPr>
                                      <w:color w:val="FFFFFF" w:themeColor="background1"/>
                                      <w:sz w:val="48"/>
                                      <w:szCs w:val="48"/>
                                    </w:rPr>
                                  </w:pPr>
                                  <w:r>
                                    <w:rPr>
                                      <w:color w:val="FFFFFF" w:themeColor="background1"/>
                                      <w:sz w:val="48"/>
                                      <w:szCs w:val="48"/>
                                    </w:rPr>
                                    <w:t>Tailored for National Strategic Plans (NSPs)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ED6B22" id="Rectangle 203" o:spid="_x0000_s1026" style="position:absolute;left:0;text-align:left;margin-left:-5.85pt;margin-top:0;width:45.35pt;height:858.2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" fillcolor="#003f72" stroked="f" strokeweight="1pt">
                      <v:textbox style="layout-flow:vertical" inset=",14.4pt,8.64pt,18pt">
                        <w:txbxContent>
                          <w:p w14:paraId="7E7FD984" w14:textId="2DC5C5A3" w:rsidR="00261D78" w:rsidRPr="009F52F1" w:rsidRDefault="00261D78" w:rsidP="00F919B5">
                            <w:pPr>
                              <w:jc w:val="center"/>
                              <w:rPr>
                                <w:color w:val="FFFFFF" w:themeColor="background1"/>
                                <w:sz w:val="48"/>
                                <w:szCs w:val="48"/>
                              </w:rPr>
                            </w:pPr>
                            <w:r>
                              <w:rPr>
                                <w:color w:val="FFFFFF" w:themeColor="background1"/>
                                <w:sz w:val="48"/>
                                <w:szCs w:val="48"/>
                              </w:rPr>
                              <w:t>Tailored for National Strategic Plans (NSPs)</w:t>
                            </w:r>
                          </w:p>
                        </w:txbxContent>
                      </v:textbox>
                      <w10:wrap anchorx="margin" anchory="margin"/>
                    </v:rect>
                  </w:pict>
                </mc:Fallback>
              </mc:AlternateContent>
            </w:r>
          </w:p>
        </w:tc>
      </w:tr>
    </w:tbl>
    <w:p w14:paraId="38784B8B" w14:textId="43C5B3BD" w:rsidR="00F919B5" w:rsidRPr="009F52F1" w:rsidRDefault="00F919B5" w:rsidP="0057108F">
      <w:pPr>
        <w:pStyle w:val="Tiny"/>
      </w:pPr>
    </w:p>
    <w:p w14:paraId="1FA610EF" w14:textId="77777777" w:rsidR="00803E0D" w:rsidRPr="00B271DB" w:rsidRDefault="00803E0D" w:rsidP="0057108F">
      <w:pPr>
        <w:spacing w:after="0"/>
      </w:pPr>
      <w:bookmarkStart w:id="0" w:name="_Hlk15390092"/>
    </w:p>
    <w:p w14:paraId="40E45918" w14:textId="77777777" w:rsidR="00803E0D" w:rsidRPr="00B271DB" w:rsidRDefault="00803E0D" w:rsidP="0057108F">
      <w:pPr>
        <w:tabs>
          <w:tab w:val="left" w:pos="1925"/>
        </w:tabs>
        <w:spacing w:after="0"/>
      </w:pPr>
      <w:r>
        <w:tab/>
      </w:r>
    </w:p>
    <w:p w14:paraId="133AD75F" w14:textId="27BA0036" w:rsidR="00803E0D" w:rsidRPr="00B271DB" w:rsidRDefault="00C5170A" w:rsidP="00C5170A">
      <w:pPr>
        <w:tabs>
          <w:tab w:val="left" w:pos="5505"/>
        </w:tabs>
        <w:spacing w:after="0"/>
      </w:pPr>
      <w:r>
        <w:tab/>
      </w:r>
    </w:p>
    <w:p w14:paraId="53650F55" w14:textId="77777777" w:rsidR="00803E0D" w:rsidRPr="00B271DB" w:rsidRDefault="00803E0D" w:rsidP="0057108F">
      <w:pPr>
        <w:spacing w:after="0"/>
      </w:pPr>
    </w:p>
    <w:p w14:paraId="670A1614" w14:textId="77777777" w:rsidR="00803E0D" w:rsidRPr="00B271DB" w:rsidRDefault="00803E0D" w:rsidP="0057108F">
      <w:pPr>
        <w:spacing w:after="0"/>
      </w:pPr>
    </w:p>
    <w:p w14:paraId="08FDF42E" w14:textId="77777777" w:rsidR="00803E0D" w:rsidRPr="00B271DB" w:rsidRDefault="00803E0D" w:rsidP="0057108F">
      <w:pPr>
        <w:spacing w:after="0"/>
      </w:pPr>
    </w:p>
    <w:p w14:paraId="118D464E" w14:textId="0DD3BAF4" w:rsidR="00803E0D" w:rsidRDefault="00803E0D" w:rsidP="0057108F">
      <w:pPr>
        <w:spacing w:after="0"/>
        <w:rPr>
          <w:rFonts w:cs="Arial"/>
          <w:i/>
          <w:iCs/>
        </w:rPr>
      </w:pPr>
      <w:bookmarkStart w:id="1" w:name="_Hlk14265541"/>
      <w:bookmarkStart w:id="2" w:name="_Hlk15384019"/>
      <w:r>
        <w:rPr>
          <w:rFonts w:cs="Arial"/>
          <w:i/>
          <w:iCs/>
        </w:rPr>
        <w:t>R</w:t>
      </w:r>
      <w:r w:rsidRPr="00B271DB">
        <w:rPr>
          <w:rFonts w:cs="Arial"/>
          <w:i/>
          <w:iCs/>
        </w:rPr>
        <w:t>efer to the “</w:t>
      </w:r>
      <w:r>
        <w:rPr>
          <w:rFonts w:cs="Arial"/>
          <w:i/>
          <w:iCs/>
        </w:rPr>
        <w:t>Tailored for National Strategic Plans (NSPs)</w:t>
      </w:r>
      <w:r w:rsidRPr="00B271DB">
        <w:rPr>
          <w:rFonts w:cs="Arial"/>
          <w:i/>
          <w:iCs/>
        </w:rPr>
        <w:t xml:space="preserve">” Instructions to complete this </w:t>
      </w:r>
      <w:r>
        <w:rPr>
          <w:rFonts w:cs="Arial"/>
          <w:i/>
          <w:iCs/>
        </w:rPr>
        <w:t>f</w:t>
      </w:r>
      <w:r w:rsidRPr="00B271DB">
        <w:rPr>
          <w:rFonts w:cs="Arial"/>
          <w:i/>
          <w:iCs/>
        </w:rPr>
        <w:t>orm.</w:t>
      </w:r>
    </w:p>
    <w:p w14:paraId="73CEDDA6" w14:textId="77777777" w:rsidR="00803E0D" w:rsidRDefault="00803E0D" w:rsidP="0057108F">
      <w:pPr>
        <w:spacing w:after="0"/>
        <w:rPr>
          <w:rFonts w:cs="Arial"/>
          <w:i/>
          <w:iCs/>
        </w:rPr>
      </w:pPr>
    </w:p>
    <w:p w14:paraId="621A15CD" w14:textId="77777777" w:rsidR="00803E0D" w:rsidRPr="00EC5320" w:rsidRDefault="00803E0D" w:rsidP="00EC5320">
      <w:pPr>
        <w:pStyle w:val="NormalNoSpace"/>
        <w:rPr>
          <w:sz w:val="36"/>
          <w:szCs w:val="36"/>
        </w:rPr>
      </w:pPr>
      <w:bookmarkStart w:id="3" w:name="_Hlk15379923"/>
      <w:bookmarkEnd w:id="1"/>
      <w:r w:rsidRPr="00EC5320">
        <w:rPr>
          <w:rStyle w:val="Heading1Char"/>
          <w:rFonts w:eastAsiaTheme="minorHAnsi" w:cstheme="minorBidi"/>
          <w:b w:val="0"/>
          <w:sz w:val="36"/>
          <w:szCs w:val="36"/>
          <w:shd w:val="clear" w:color="auto" w:fill="auto"/>
        </w:rPr>
        <w:t>Summary Information</w:t>
      </w:r>
    </w:p>
    <w:tbl>
      <w:tblPr>
        <w:tblStyle w:val="TableGrid"/>
        <w:tblW w:w="0" w:type="auto"/>
        <w:tblLook w:val="04A0" w:firstRow="1" w:lastRow="0" w:firstColumn="1" w:lastColumn="0" w:noHBand="0" w:noVBand="1"/>
      </w:tblPr>
      <w:tblGrid>
        <w:gridCol w:w="4255"/>
        <w:gridCol w:w="5373"/>
      </w:tblGrid>
      <w:tr w:rsidR="00803E0D" w:rsidRPr="00B271DB" w14:paraId="1BDD35D0" w14:textId="77777777" w:rsidTr="00C71F41">
        <w:trPr>
          <w:trHeight w:val="461"/>
        </w:trPr>
        <w:tc>
          <w:tcPr>
            <w:tcW w:w="4320" w:type="dxa"/>
            <w:shd w:val="clear" w:color="auto" w:fill="F2F2F2" w:themeFill="background1" w:themeFillShade="F2"/>
            <w:vAlign w:val="center"/>
          </w:tcPr>
          <w:p w14:paraId="1DC333EA" w14:textId="77777777" w:rsidR="00803E0D" w:rsidRPr="00B271DB" w:rsidRDefault="00803E0D" w:rsidP="0057108F">
            <w:pPr>
              <w:rPr>
                <w:rFonts w:cs="Arial"/>
                <w:b/>
              </w:rPr>
            </w:pPr>
            <w:r w:rsidRPr="00B271DB">
              <w:rPr>
                <w:rFonts w:eastAsiaTheme="minorEastAsia"/>
                <w:b/>
                <w:bCs/>
              </w:rPr>
              <w:t>Country(s)</w:t>
            </w:r>
          </w:p>
        </w:tc>
        <w:tc>
          <w:tcPr>
            <w:tcW w:w="5472" w:type="dxa"/>
          </w:tcPr>
          <w:p w14:paraId="64AB54B3" w14:textId="63FB6BEF" w:rsidR="00803E0D" w:rsidRPr="00B271DB" w:rsidRDefault="00582E08" w:rsidP="0057108F">
            <w:pPr>
              <w:rPr>
                <w:rFonts w:cs="Arial"/>
              </w:rPr>
            </w:pPr>
            <w:r>
              <w:rPr>
                <w:rFonts w:cs="Arial"/>
              </w:rPr>
              <w:t>Bangladesh</w:t>
            </w:r>
          </w:p>
        </w:tc>
      </w:tr>
      <w:tr w:rsidR="00803E0D" w:rsidRPr="00B271DB" w14:paraId="38534D52" w14:textId="77777777" w:rsidTr="00C71F41">
        <w:trPr>
          <w:trHeight w:val="461"/>
        </w:trPr>
        <w:tc>
          <w:tcPr>
            <w:tcW w:w="4320" w:type="dxa"/>
            <w:shd w:val="clear" w:color="auto" w:fill="F2F2F2" w:themeFill="background1" w:themeFillShade="F2"/>
            <w:vAlign w:val="center"/>
          </w:tcPr>
          <w:p w14:paraId="10663DCA" w14:textId="77777777" w:rsidR="00803E0D" w:rsidRPr="00B271DB" w:rsidRDefault="00803E0D" w:rsidP="0057108F">
            <w:pPr>
              <w:rPr>
                <w:rFonts w:cs="Arial"/>
                <w:b/>
              </w:rPr>
            </w:pPr>
            <w:r w:rsidRPr="00B271DB">
              <w:rPr>
                <w:b/>
                <w:bCs/>
              </w:rPr>
              <w:t>Component(s)</w:t>
            </w:r>
          </w:p>
        </w:tc>
        <w:tc>
          <w:tcPr>
            <w:tcW w:w="5472" w:type="dxa"/>
          </w:tcPr>
          <w:p w14:paraId="3D5D1DF6" w14:textId="1B347D4D" w:rsidR="00803E0D" w:rsidRPr="00B271DB" w:rsidRDefault="004D5A7C" w:rsidP="0057108F">
            <w:pPr>
              <w:rPr>
                <w:rFonts w:cs="Arial"/>
              </w:rPr>
            </w:pPr>
            <w:r>
              <w:rPr>
                <w:rFonts w:cs="Arial"/>
              </w:rPr>
              <w:t>Tuberculosis</w:t>
            </w:r>
          </w:p>
        </w:tc>
      </w:tr>
      <w:tr w:rsidR="00803E0D" w:rsidRPr="00B271DB" w14:paraId="22D0B81F" w14:textId="77777777" w:rsidTr="00C71F41">
        <w:trPr>
          <w:trHeight w:val="461"/>
        </w:trPr>
        <w:tc>
          <w:tcPr>
            <w:tcW w:w="4320" w:type="dxa"/>
            <w:shd w:val="clear" w:color="auto" w:fill="F2F2F2" w:themeFill="background1" w:themeFillShade="F2"/>
            <w:vAlign w:val="center"/>
          </w:tcPr>
          <w:p w14:paraId="6ECA0C4B" w14:textId="77777777" w:rsidR="00803E0D" w:rsidRPr="00B271DB" w:rsidRDefault="00803E0D" w:rsidP="0057108F">
            <w:pPr>
              <w:rPr>
                <w:rFonts w:cs="Arial"/>
                <w:b/>
              </w:rPr>
            </w:pPr>
            <w:r w:rsidRPr="00B271DB">
              <w:rPr>
                <w:b/>
                <w:bCs/>
              </w:rPr>
              <w:t>Planned grant(s) start date</w:t>
            </w:r>
            <w:r>
              <w:rPr>
                <w:b/>
                <w:bCs/>
              </w:rPr>
              <w:t>(s)</w:t>
            </w:r>
          </w:p>
        </w:tc>
        <w:tc>
          <w:tcPr>
            <w:tcW w:w="5472" w:type="dxa"/>
          </w:tcPr>
          <w:p w14:paraId="58467A5A" w14:textId="64C8593E" w:rsidR="00803E0D" w:rsidRPr="00B271DB" w:rsidRDefault="004D5A7C" w:rsidP="0057108F">
            <w:pPr>
              <w:rPr>
                <w:rFonts w:cs="Arial"/>
              </w:rPr>
            </w:pPr>
            <w:r w:rsidRPr="004D5A7C">
              <w:rPr>
                <w:rFonts w:cs="Arial"/>
              </w:rPr>
              <w:t>1 January 2021</w:t>
            </w:r>
          </w:p>
        </w:tc>
      </w:tr>
      <w:tr w:rsidR="00803E0D" w:rsidRPr="00B271DB" w14:paraId="0AD7B874" w14:textId="77777777" w:rsidTr="00C71F41">
        <w:trPr>
          <w:trHeight w:val="461"/>
        </w:trPr>
        <w:tc>
          <w:tcPr>
            <w:tcW w:w="4320" w:type="dxa"/>
            <w:shd w:val="clear" w:color="auto" w:fill="F2F2F2" w:themeFill="background1" w:themeFillShade="F2"/>
            <w:vAlign w:val="center"/>
          </w:tcPr>
          <w:p w14:paraId="3C34468B" w14:textId="77777777" w:rsidR="00803E0D" w:rsidRPr="00B271DB" w:rsidRDefault="00803E0D" w:rsidP="0057108F">
            <w:pPr>
              <w:rPr>
                <w:rFonts w:cs="Arial"/>
                <w:b/>
              </w:rPr>
            </w:pPr>
            <w:r w:rsidRPr="00B271DB">
              <w:rPr>
                <w:b/>
                <w:bCs/>
              </w:rPr>
              <w:t>Planned grant(s) end date</w:t>
            </w:r>
            <w:r>
              <w:rPr>
                <w:b/>
                <w:bCs/>
              </w:rPr>
              <w:t>(s)</w:t>
            </w:r>
          </w:p>
        </w:tc>
        <w:tc>
          <w:tcPr>
            <w:tcW w:w="5472" w:type="dxa"/>
          </w:tcPr>
          <w:p w14:paraId="3C830EB3" w14:textId="14A1C465" w:rsidR="00803E0D" w:rsidRPr="00B271DB" w:rsidRDefault="004D5A7C" w:rsidP="0057108F">
            <w:pPr>
              <w:rPr>
                <w:rFonts w:cs="Arial"/>
              </w:rPr>
            </w:pPr>
            <w:r w:rsidRPr="004D5A7C">
              <w:rPr>
                <w:rFonts w:cs="Arial"/>
              </w:rPr>
              <w:t>31 December 2023</w:t>
            </w:r>
          </w:p>
        </w:tc>
      </w:tr>
      <w:tr w:rsidR="00803E0D" w:rsidRPr="00B271DB" w14:paraId="572BEDC0" w14:textId="77777777" w:rsidTr="00C71F41">
        <w:trPr>
          <w:trHeight w:val="461"/>
        </w:trPr>
        <w:tc>
          <w:tcPr>
            <w:tcW w:w="4320" w:type="dxa"/>
            <w:shd w:val="clear" w:color="auto" w:fill="F2F2F2" w:themeFill="background1" w:themeFillShade="F2"/>
            <w:vAlign w:val="center"/>
          </w:tcPr>
          <w:p w14:paraId="10CC024D" w14:textId="77777777" w:rsidR="00803E0D" w:rsidRPr="00B271DB" w:rsidRDefault="00803E0D" w:rsidP="0057108F">
            <w:pPr>
              <w:rPr>
                <w:rFonts w:cs="Arial"/>
                <w:b/>
              </w:rPr>
            </w:pPr>
            <w:r w:rsidRPr="00B271DB">
              <w:rPr>
                <w:b/>
                <w:bCs/>
              </w:rPr>
              <w:t>Principal Recipient</w:t>
            </w:r>
            <w:r>
              <w:rPr>
                <w:b/>
                <w:bCs/>
              </w:rPr>
              <w:t>(s)</w:t>
            </w:r>
            <w:r w:rsidRPr="00B271DB">
              <w:rPr>
                <w:b/>
                <w:bCs/>
              </w:rPr>
              <w:t xml:space="preserve"> </w:t>
            </w:r>
          </w:p>
        </w:tc>
        <w:tc>
          <w:tcPr>
            <w:tcW w:w="5472" w:type="dxa"/>
          </w:tcPr>
          <w:p w14:paraId="7D80F45F" w14:textId="2A038D88" w:rsidR="00803E0D" w:rsidRPr="00B271DB" w:rsidRDefault="004D5A7C" w:rsidP="0057108F">
            <w:pPr>
              <w:rPr>
                <w:rFonts w:cs="Arial"/>
              </w:rPr>
            </w:pPr>
            <w:r w:rsidRPr="004D5A7C">
              <w:rPr>
                <w:rFonts w:cs="Arial"/>
              </w:rPr>
              <w:t xml:space="preserve">External Resource Division (ERD), </w:t>
            </w:r>
            <w:proofErr w:type="spellStart"/>
            <w:r w:rsidRPr="004D5A7C">
              <w:rPr>
                <w:rFonts w:cs="Arial"/>
              </w:rPr>
              <w:t>MoF</w:t>
            </w:r>
            <w:proofErr w:type="spellEnd"/>
            <w:r w:rsidRPr="004D5A7C">
              <w:rPr>
                <w:rFonts w:cs="Arial"/>
              </w:rPr>
              <w:t>&amp; BRAC</w:t>
            </w:r>
          </w:p>
        </w:tc>
      </w:tr>
      <w:tr w:rsidR="00803E0D" w:rsidRPr="00B271DB" w14:paraId="48918459" w14:textId="77777777" w:rsidTr="00C71F41">
        <w:trPr>
          <w:trHeight w:val="461"/>
        </w:trPr>
        <w:tc>
          <w:tcPr>
            <w:tcW w:w="4320" w:type="dxa"/>
            <w:shd w:val="clear" w:color="auto" w:fill="F2F2F2" w:themeFill="background1" w:themeFillShade="F2"/>
            <w:vAlign w:val="center"/>
          </w:tcPr>
          <w:p w14:paraId="4B4CC7B9" w14:textId="77777777" w:rsidR="00803E0D" w:rsidRPr="00B271DB" w:rsidRDefault="00803E0D" w:rsidP="0057108F">
            <w:pPr>
              <w:rPr>
                <w:rFonts w:cs="Arial"/>
                <w:b/>
              </w:rPr>
            </w:pPr>
            <w:r w:rsidRPr="00B271DB">
              <w:rPr>
                <w:b/>
                <w:bCs/>
              </w:rPr>
              <w:t>Currency</w:t>
            </w:r>
          </w:p>
        </w:tc>
        <w:tc>
          <w:tcPr>
            <w:tcW w:w="5472" w:type="dxa"/>
          </w:tcPr>
          <w:p w14:paraId="5B96F067" w14:textId="2742C426" w:rsidR="00803E0D" w:rsidRPr="00B271DB" w:rsidRDefault="004D5A7C" w:rsidP="0057108F">
            <w:pPr>
              <w:rPr>
                <w:rFonts w:cs="Arial"/>
              </w:rPr>
            </w:pPr>
            <w:r>
              <w:rPr>
                <w:rFonts w:cs="Arial"/>
              </w:rPr>
              <w:t>USD</w:t>
            </w:r>
          </w:p>
        </w:tc>
      </w:tr>
      <w:tr w:rsidR="00803E0D" w:rsidRPr="00B271DB" w14:paraId="594487E6" w14:textId="77777777" w:rsidTr="00C71F41">
        <w:trPr>
          <w:trHeight w:val="461"/>
        </w:trPr>
        <w:tc>
          <w:tcPr>
            <w:tcW w:w="4320" w:type="dxa"/>
            <w:shd w:val="clear" w:color="auto" w:fill="F2F2F2" w:themeFill="background1" w:themeFillShade="F2"/>
            <w:vAlign w:val="center"/>
          </w:tcPr>
          <w:p w14:paraId="118F1783" w14:textId="77777777" w:rsidR="00803E0D" w:rsidRPr="00B271DB" w:rsidRDefault="00803E0D" w:rsidP="0057108F">
            <w:pPr>
              <w:rPr>
                <w:rFonts w:cs="Arial"/>
                <w:b/>
              </w:rPr>
            </w:pPr>
            <w:r w:rsidRPr="00B271DB">
              <w:rPr>
                <w:b/>
                <w:bCs/>
              </w:rPr>
              <w:t>Allocation Funding Request Amount</w:t>
            </w:r>
          </w:p>
        </w:tc>
        <w:tc>
          <w:tcPr>
            <w:tcW w:w="5472" w:type="dxa"/>
          </w:tcPr>
          <w:p w14:paraId="3985B383" w14:textId="68F04057" w:rsidR="00803E0D" w:rsidRPr="00B271DB" w:rsidRDefault="00261D78" w:rsidP="0057108F">
            <w:pPr>
              <w:rPr>
                <w:rFonts w:cs="Arial"/>
              </w:rPr>
            </w:pPr>
            <w:r w:rsidRPr="00261D78">
              <w:rPr>
                <w:rFonts w:cs="Arial"/>
              </w:rPr>
              <w:t>1</w:t>
            </w:r>
            <w:r>
              <w:rPr>
                <w:rFonts w:cs="Arial"/>
              </w:rPr>
              <w:t>1</w:t>
            </w:r>
            <w:r w:rsidRPr="00261D78">
              <w:rPr>
                <w:rFonts w:cs="Arial"/>
              </w:rPr>
              <w:t>5.067.401</w:t>
            </w:r>
          </w:p>
        </w:tc>
      </w:tr>
      <w:tr w:rsidR="00803E0D" w:rsidRPr="00B271DB" w14:paraId="33D6968D" w14:textId="77777777" w:rsidTr="00C71F41">
        <w:trPr>
          <w:trHeight w:val="461"/>
        </w:trPr>
        <w:tc>
          <w:tcPr>
            <w:tcW w:w="4320" w:type="dxa"/>
            <w:shd w:val="clear" w:color="auto" w:fill="F2F2F2" w:themeFill="background1" w:themeFillShade="F2"/>
            <w:vAlign w:val="center"/>
          </w:tcPr>
          <w:p w14:paraId="351E5E31" w14:textId="77777777" w:rsidR="00803E0D" w:rsidRPr="00B271DB" w:rsidRDefault="00803E0D" w:rsidP="0057108F">
            <w:pPr>
              <w:rPr>
                <w:rFonts w:cs="Arial"/>
                <w:b/>
              </w:rPr>
            </w:pPr>
            <w:r w:rsidRPr="00B271DB">
              <w:rPr>
                <w:b/>
                <w:bCs/>
              </w:rPr>
              <w:t>Prioritized Above Allocation Request (PAAR) Amount</w:t>
            </w:r>
            <w:r w:rsidRPr="00B271DB">
              <w:rPr>
                <w:rStyle w:val="FootnoteReference"/>
                <w:b/>
                <w:bCs/>
              </w:rPr>
              <w:footnoteReference w:id="2"/>
            </w:r>
            <w:r>
              <w:rPr>
                <w:b/>
                <w:bCs/>
              </w:rPr>
              <w:t xml:space="preserve"> </w:t>
            </w:r>
          </w:p>
        </w:tc>
        <w:tc>
          <w:tcPr>
            <w:tcW w:w="5472" w:type="dxa"/>
          </w:tcPr>
          <w:p w14:paraId="69105D42" w14:textId="792471CE" w:rsidR="00803E0D" w:rsidRPr="00B271DB" w:rsidRDefault="00803E0D" w:rsidP="0057108F">
            <w:pPr>
              <w:rPr>
                <w:rFonts w:cs="Arial"/>
              </w:rPr>
            </w:pPr>
          </w:p>
        </w:tc>
      </w:tr>
      <w:tr w:rsidR="00803E0D" w:rsidRPr="00B271DB" w14:paraId="0D4721D2" w14:textId="77777777" w:rsidTr="00C71F41">
        <w:trPr>
          <w:trHeight w:val="461"/>
        </w:trPr>
        <w:tc>
          <w:tcPr>
            <w:tcW w:w="4320" w:type="dxa"/>
            <w:shd w:val="clear" w:color="auto" w:fill="F2F2F2" w:themeFill="background1" w:themeFillShade="F2"/>
            <w:vAlign w:val="center"/>
          </w:tcPr>
          <w:p w14:paraId="4A5A7670" w14:textId="77777777" w:rsidR="00803E0D" w:rsidRDefault="00803E0D" w:rsidP="0057108F">
            <w:pPr>
              <w:rPr>
                <w:b/>
                <w:bCs/>
              </w:rPr>
            </w:pPr>
            <w:r w:rsidRPr="00B271DB">
              <w:rPr>
                <w:b/>
                <w:bCs/>
              </w:rPr>
              <w:t>Matching Funds</w:t>
            </w:r>
            <w:r>
              <w:rPr>
                <w:b/>
                <w:bCs/>
              </w:rPr>
              <w:t xml:space="preserve"> Request</w:t>
            </w:r>
            <w:r w:rsidRPr="00B271DB">
              <w:rPr>
                <w:b/>
                <w:bCs/>
              </w:rPr>
              <w:t xml:space="preserve"> Amount</w:t>
            </w:r>
            <w:r>
              <w:rPr>
                <w:rStyle w:val="FootnoteReference"/>
                <w:b/>
                <w:bCs/>
              </w:rPr>
              <w:footnoteReference w:id="3"/>
            </w:r>
            <w:r>
              <w:rPr>
                <w:b/>
                <w:bCs/>
              </w:rPr>
              <w:t xml:space="preserve"> </w:t>
            </w:r>
          </w:p>
          <w:p w14:paraId="0B7E9104" w14:textId="77777777" w:rsidR="00803E0D" w:rsidRPr="00890D60" w:rsidRDefault="00803E0D" w:rsidP="0057108F">
            <w:pPr>
              <w:rPr>
                <w:rFonts w:cs="Arial"/>
              </w:rPr>
            </w:pPr>
            <w:r w:rsidRPr="00890D60">
              <w:rPr>
                <w:bCs/>
              </w:rPr>
              <w:t>(if applicable)</w:t>
            </w:r>
          </w:p>
        </w:tc>
        <w:tc>
          <w:tcPr>
            <w:tcW w:w="5472" w:type="dxa"/>
          </w:tcPr>
          <w:p w14:paraId="118DF044" w14:textId="3C5BE03E" w:rsidR="00803E0D" w:rsidRPr="00B271DB" w:rsidRDefault="004D5A7C" w:rsidP="0057108F">
            <w:pPr>
              <w:rPr>
                <w:rFonts w:cs="Arial"/>
              </w:rPr>
            </w:pPr>
            <w:r>
              <w:rPr>
                <w:rFonts w:cs="Arial"/>
              </w:rPr>
              <w:t>10,000,000</w:t>
            </w:r>
          </w:p>
        </w:tc>
      </w:tr>
    </w:tbl>
    <w:p w14:paraId="7CE922D8" w14:textId="77777777" w:rsidR="00803E0D" w:rsidRDefault="00803E0D" w:rsidP="0057108F">
      <w:pPr>
        <w:spacing w:after="0"/>
        <w:rPr>
          <w:rFonts w:eastAsiaTheme="majorEastAsia" w:cs="Arial"/>
          <w:b/>
          <w:sz w:val="32"/>
          <w:szCs w:val="32"/>
        </w:rPr>
      </w:pPr>
    </w:p>
    <w:p w14:paraId="16EAA318" w14:textId="77777777" w:rsidR="00803E0D" w:rsidRDefault="00803E0D" w:rsidP="0057108F">
      <w:pPr>
        <w:spacing w:after="0"/>
        <w:rPr>
          <w:rFonts w:eastAsiaTheme="majorEastAsia" w:cs="Arial"/>
          <w:b/>
          <w:sz w:val="32"/>
          <w:szCs w:val="32"/>
        </w:rPr>
      </w:pPr>
    </w:p>
    <w:p w14:paraId="427F957A" w14:textId="77777777" w:rsidR="00803E0D" w:rsidRPr="00B271DB" w:rsidRDefault="00803E0D" w:rsidP="0057108F">
      <w:pPr>
        <w:spacing w:after="0"/>
        <w:jc w:val="center"/>
        <w:sectPr w:rsidR="00803E0D" w:rsidRPr="00B271DB" w:rsidSect="00C71F41">
          <w:footerReference w:type="default" r:id="rId12"/>
          <w:endnotePr>
            <w:numFmt w:val="chicago"/>
          </w:endnotePr>
          <w:pgSz w:w="11906" w:h="16838" w:code="9"/>
          <w:pgMar w:top="851" w:right="1134" w:bottom="360" w:left="1134" w:header="720" w:footer="288" w:gutter="0"/>
          <w:cols w:space="708"/>
          <w:docGrid w:linePitch="360"/>
        </w:sectPr>
      </w:pPr>
      <w:r w:rsidRPr="009F52F1">
        <w:rPr>
          <w:noProof/>
        </w:rPr>
        <w:drawing>
          <wp:anchor distT="0" distB="0" distL="114300" distR="114300" simplePos="0" relativeHeight="251661312" behindDoc="1" locked="0" layoutInCell="1" allowOverlap="1" wp14:anchorId="33964748" wp14:editId="27396675">
            <wp:simplePos x="0" y="0"/>
            <wp:positionH relativeFrom="margin">
              <wp:posOffset>1707515</wp:posOffset>
            </wp:positionH>
            <wp:positionV relativeFrom="paragraph">
              <wp:posOffset>567690</wp:posOffset>
            </wp:positionV>
            <wp:extent cx="2700000" cy="328154"/>
            <wp:effectExtent l="0" t="0" r="5715" b="0"/>
            <wp:wrapTight wrapText="bothSides">
              <wp:wrapPolygon edited="0">
                <wp:start x="152" y="0"/>
                <wp:lineTo x="0" y="1256"/>
                <wp:lineTo x="0" y="15070"/>
                <wp:lineTo x="610" y="20093"/>
                <wp:lineTo x="610" y="20093"/>
                <wp:lineTo x="1829" y="20093"/>
                <wp:lineTo x="21493" y="18837"/>
                <wp:lineTo x="21493" y="1256"/>
                <wp:lineTo x="2287" y="0"/>
                <wp:lineTo x="1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3">
                      <a:extLst>
                        <a:ext uri="{28A0092B-C50C-407E-A947-70E740481C1C}">
                          <a14:useLocalDpi xmlns:a14="http://schemas.microsoft.com/office/drawing/2010/main" val="0"/>
                        </a:ext>
                      </a:extLst>
                    </a:blip>
                    <a:srcRect/>
                    <a:stretch/>
                  </pic:blipFill>
                  <pic:spPr>
                    <a:xfrm>
                      <a:off x="0" y="0"/>
                      <a:ext cx="2700000" cy="328154"/>
                    </a:xfrm>
                    <a:prstGeom prst="rect">
                      <a:avLst/>
                    </a:prstGeom>
                  </pic:spPr>
                </pic:pic>
              </a:graphicData>
            </a:graphic>
            <wp14:sizeRelH relativeFrom="page">
              <wp14:pctWidth>0</wp14:pctWidth>
            </wp14:sizeRelH>
            <wp14:sizeRelV relativeFrom="page">
              <wp14:pctHeight>0</wp14:pctHeight>
            </wp14:sizeRelV>
          </wp:anchor>
        </w:drawing>
      </w:r>
    </w:p>
    <w:bookmarkEnd w:id="0"/>
    <w:bookmarkEnd w:id="2"/>
    <w:bookmarkEnd w:id="3"/>
    <w:p w14:paraId="3E1CAE7A" w14:textId="75DE29B2" w:rsidR="0057108F" w:rsidRPr="0057108F" w:rsidRDefault="0057108F" w:rsidP="0057108F">
      <w:pPr>
        <w:pStyle w:val="Heading1"/>
        <w:rPr>
          <w:rStyle w:val="normaltextrun"/>
        </w:rPr>
      </w:pPr>
      <w:r w:rsidRPr="0057108F">
        <w:rPr>
          <w:rStyle w:val="normaltextrun"/>
        </w:rPr>
        <w:lastRenderedPageBreak/>
        <w:t>Section 1: Context Related to the Funding Request</w:t>
      </w:r>
    </w:p>
    <w:p w14:paraId="66F27577" w14:textId="77777777" w:rsidR="0057108F" w:rsidRDefault="0057108F" w:rsidP="0057108F">
      <w:pPr>
        <w:spacing w:after="0" w:line="240" w:lineRule="auto"/>
        <w:rPr>
          <w:rStyle w:val="normaltextrun"/>
          <w:rFonts w:cs="Arial"/>
          <w:color w:val="000000"/>
          <w:shd w:val="clear" w:color="auto" w:fill="FFFFFF"/>
        </w:rPr>
      </w:pPr>
    </w:p>
    <w:p w14:paraId="441E8448" w14:textId="312D9E3F" w:rsidR="00735082" w:rsidRDefault="00735082" w:rsidP="0057108F">
      <w:pPr>
        <w:spacing w:after="0" w:line="240" w:lineRule="auto"/>
        <w:rPr>
          <w:rStyle w:val="normaltextrun"/>
          <w:rFonts w:cs="Arial"/>
          <w:color w:val="000000"/>
          <w:shd w:val="clear" w:color="auto" w:fill="FFFFFF"/>
        </w:rPr>
      </w:pPr>
      <w:r>
        <w:rPr>
          <w:rStyle w:val="normaltextrun"/>
          <w:rFonts w:cs="Arial"/>
          <w:color w:val="000000"/>
          <w:shd w:val="clear" w:color="auto" w:fill="FFFFFF"/>
        </w:rPr>
        <w:t>To respond to the questions below, refer to the </w:t>
      </w:r>
      <w:r>
        <w:rPr>
          <w:rStyle w:val="normaltextrun"/>
          <w:rFonts w:cs="Arial"/>
          <w:i/>
          <w:iCs/>
          <w:color w:val="000000"/>
          <w:shd w:val="clear" w:color="auto" w:fill="FFFFFF"/>
        </w:rPr>
        <w:t>Instructions</w:t>
      </w:r>
      <w:r w:rsidR="00433594">
        <w:rPr>
          <w:rStyle w:val="normaltextrun"/>
          <w:rFonts w:cs="Arial"/>
          <w:i/>
          <w:iCs/>
          <w:color w:val="000000"/>
          <w:shd w:val="clear" w:color="auto" w:fill="FFFFFF"/>
        </w:rPr>
        <w:t xml:space="preserve">, </w:t>
      </w:r>
      <w:r w:rsidR="00433594">
        <w:rPr>
          <w:rStyle w:val="normaltextrun"/>
          <w:rFonts w:cs="Arial"/>
          <w:iCs/>
          <w:color w:val="000000"/>
          <w:shd w:val="clear" w:color="auto" w:fill="FFFFFF"/>
        </w:rPr>
        <w:t>NSPs, other national documents</w:t>
      </w:r>
      <w:r w:rsidR="0085302F">
        <w:rPr>
          <w:rStyle w:val="normaltextrun"/>
          <w:rFonts w:cs="Arial"/>
          <w:iCs/>
          <w:color w:val="000000"/>
          <w:shd w:val="clear" w:color="auto" w:fill="FFFFFF"/>
        </w:rPr>
        <w:t>,</w:t>
      </w:r>
      <w:r w:rsidR="00433594">
        <w:rPr>
          <w:rStyle w:val="normaltextrun"/>
          <w:rFonts w:cs="Arial"/>
          <w:iCs/>
          <w:color w:val="000000"/>
          <w:shd w:val="clear" w:color="auto" w:fill="FFFFFF"/>
        </w:rPr>
        <w:t xml:space="preserve"> and the</w:t>
      </w:r>
      <w:r>
        <w:rPr>
          <w:rStyle w:val="normaltextrun"/>
          <w:rFonts w:cs="Arial"/>
          <w:color w:val="000000"/>
          <w:shd w:val="clear" w:color="auto" w:fill="FFFFFF"/>
        </w:rPr>
        <w:t xml:space="preserve"> Essential Data Table</w:t>
      </w:r>
      <w:r w:rsidR="006860DF">
        <w:rPr>
          <w:rStyle w:val="normaltextrun"/>
          <w:rFonts w:cs="Arial"/>
          <w:color w:val="000000"/>
          <w:shd w:val="clear" w:color="auto" w:fill="FFFFFF"/>
        </w:rPr>
        <w:t>(</w:t>
      </w:r>
      <w:r w:rsidR="0085302F">
        <w:rPr>
          <w:rStyle w:val="normaltextrun"/>
          <w:rFonts w:cs="Arial"/>
          <w:color w:val="000000"/>
          <w:shd w:val="clear" w:color="auto" w:fill="FFFFFF"/>
        </w:rPr>
        <w:t>s</w:t>
      </w:r>
      <w:r w:rsidR="006860DF">
        <w:rPr>
          <w:rStyle w:val="normaltextrun"/>
          <w:rFonts w:cs="Arial"/>
          <w:color w:val="000000"/>
          <w:shd w:val="clear" w:color="auto" w:fill="FFFFFF"/>
        </w:rPr>
        <w:t>)</w:t>
      </w:r>
      <w:r>
        <w:rPr>
          <w:rStyle w:val="normaltextrun"/>
          <w:rFonts w:cs="Arial"/>
          <w:color w:val="000000"/>
          <w:shd w:val="clear" w:color="auto" w:fill="FFFFFF"/>
        </w:rPr>
        <w:t>.</w:t>
      </w:r>
    </w:p>
    <w:p w14:paraId="0ED8E8B1" w14:textId="3867A7C2" w:rsidR="00CC3B8C" w:rsidRDefault="00CC3B8C" w:rsidP="0057108F">
      <w:pPr>
        <w:spacing w:after="0" w:line="240" w:lineRule="auto"/>
        <w:rPr>
          <w:rFonts w:cs="Arial"/>
          <w:szCs w:val="20"/>
        </w:rPr>
      </w:pPr>
    </w:p>
    <w:p w14:paraId="2FAFD2DF" w14:textId="58FEC56B" w:rsidR="00CC3B8C" w:rsidRDefault="00800353" w:rsidP="0057108F">
      <w:pPr>
        <w:pStyle w:val="Heading2"/>
        <w:spacing w:after="0"/>
      </w:pPr>
      <w:r>
        <w:t xml:space="preserve">Context </w:t>
      </w:r>
      <w:r w:rsidR="00677F0E">
        <w:t>I</w:t>
      </w:r>
      <w:r w:rsidR="00FD06C7">
        <w:t xml:space="preserve">ncluded </w:t>
      </w:r>
      <w:r>
        <w:t xml:space="preserve">in NSPs and </w:t>
      </w:r>
      <w:r w:rsidR="00677F0E">
        <w:t xml:space="preserve">Other Reference Documents </w:t>
      </w:r>
    </w:p>
    <w:p w14:paraId="47F9DA9C" w14:textId="77777777" w:rsidR="0057108F" w:rsidRPr="0057108F" w:rsidRDefault="0057108F" w:rsidP="0057108F">
      <w:pPr>
        <w:spacing w:after="0"/>
      </w:pPr>
    </w:p>
    <w:p w14:paraId="07397335" w14:textId="5B3D2CEA" w:rsidR="00DB04AE" w:rsidRDefault="003F7DEE" w:rsidP="0057108F">
      <w:pPr>
        <w:spacing w:after="0"/>
        <w:rPr>
          <w:rFonts w:cs="Arial"/>
          <w:bCs/>
        </w:rPr>
      </w:pPr>
      <w:r>
        <w:rPr>
          <w:rFonts w:cs="Arial"/>
          <w:bCs/>
        </w:rPr>
        <w:t xml:space="preserve">Check </w:t>
      </w:r>
      <w:r w:rsidR="005D17DE">
        <w:rPr>
          <w:rFonts w:cs="Arial"/>
          <w:bCs/>
        </w:rPr>
        <w:t xml:space="preserve">relevant </w:t>
      </w:r>
      <w:r w:rsidR="00800353" w:rsidRPr="00800353">
        <w:rPr>
          <w:rFonts w:cs="Arial"/>
          <w:bCs/>
        </w:rPr>
        <w:t xml:space="preserve">contextual areas </w:t>
      </w:r>
      <w:r w:rsidR="00FD06C7">
        <w:rPr>
          <w:rFonts w:cs="Arial"/>
          <w:bCs/>
        </w:rPr>
        <w:t xml:space="preserve">included </w:t>
      </w:r>
      <w:r w:rsidR="00433594">
        <w:rPr>
          <w:rFonts w:cs="Arial"/>
          <w:bCs/>
        </w:rPr>
        <w:t>in NSP</w:t>
      </w:r>
      <w:r w:rsidR="006860DF">
        <w:rPr>
          <w:rFonts w:cs="Arial"/>
          <w:bCs/>
        </w:rPr>
        <w:t>s</w:t>
      </w:r>
      <w:r w:rsidR="005047AD">
        <w:rPr>
          <w:rFonts w:cs="Arial"/>
          <w:bCs/>
        </w:rPr>
        <w:t>, as applicable</w:t>
      </w:r>
      <w:r w:rsidR="00800353" w:rsidRPr="00800353">
        <w:rPr>
          <w:rFonts w:cs="Arial"/>
          <w:bCs/>
        </w:rPr>
        <w:t>.</w:t>
      </w:r>
      <w:r w:rsidR="00DF6E74">
        <w:rPr>
          <w:rFonts w:cs="Arial"/>
          <w:bCs/>
        </w:rPr>
        <w:t xml:space="preserve"> </w:t>
      </w:r>
      <w:r w:rsidR="00800353" w:rsidRPr="00800353">
        <w:rPr>
          <w:rFonts w:cs="Arial"/>
          <w:bCs/>
        </w:rPr>
        <w:t xml:space="preserve">For </w:t>
      </w:r>
      <w:r w:rsidR="00A414AF">
        <w:rPr>
          <w:rFonts w:cs="Arial"/>
          <w:bCs/>
        </w:rPr>
        <w:t>a</w:t>
      </w:r>
      <w:r w:rsidR="00800353" w:rsidRPr="00800353">
        <w:rPr>
          <w:rFonts w:cs="Arial"/>
          <w:bCs/>
        </w:rPr>
        <w:t>reas</w:t>
      </w:r>
      <w:r w:rsidR="00A414AF">
        <w:rPr>
          <w:rFonts w:cs="Arial"/>
          <w:bCs/>
        </w:rPr>
        <w:t xml:space="preserve"> not included in NSP</w:t>
      </w:r>
      <w:r w:rsidR="006860DF">
        <w:rPr>
          <w:rFonts w:cs="Arial"/>
          <w:bCs/>
        </w:rPr>
        <w:t>s</w:t>
      </w:r>
      <w:r w:rsidR="00FD06C7">
        <w:rPr>
          <w:rFonts w:cs="Arial"/>
          <w:bCs/>
        </w:rPr>
        <w:t>,</w:t>
      </w:r>
      <w:r w:rsidR="00800353" w:rsidRPr="00800353">
        <w:rPr>
          <w:rFonts w:cs="Arial"/>
          <w:bCs/>
        </w:rPr>
        <w:t xml:space="preserve"> </w:t>
      </w:r>
      <w:r w:rsidR="00AF1666">
        <w:rPr>
          <w:rFonts w:cs="Arial"/>
          <w:bCs/>
        </w:rPr>
        <w:t xml:space="preserve">provide </w:t>
      </w:r>
      <w:r w:rsidR="005D17DE">
        <w:rPr>
          <w:rFonts w:cs="Arial"/>
          <w:bCs/>
        </w:rPr>
        <w:t>reference</w:t>
      </w:r>
      <w:r w:rsidR="00A414AF" w:rsidRPr="00800353">
        <w:rPr>
          <w:rFonts w:cs="Arial"/>
          <w:bCs/>
        </w:rPr>
        <w:t xml:space="preserve"> </w:t>
      </w:r>
      <w:r w:rsidR="00800353" w:rsidRPr="00800353">
        <w:rPr>
          <w:rFonts w:cs="Arial"/>
          <w:bCs/>
        </w:rPr>
        <w:t xml:space="preserve">to other </w:t>
      </w:r>
      <w:r w:rsidR="00A414AF">
        <w:rPr>
          <w:rFonts w:cs="Arial"/>
          <w:bCs/>
        </w:rPr>
        <w:t xml:space="preserve">relevant </w:t>
      </w:r>
      <w:r w:rsidR="00800353" w:rsidRPr="00800353">
        <w:rPr>
          <w:rFonts w:cs="Arial"/>
          <w:bCs/>
        </w:rPr>
        <w:t>document</w:t>
      </w:r>
      <w:r w:rsidR="00AF1666">
        <w:rPr>
          <w:rFonts w:cs="Arial"/>
          <w:bCs/>
        </w:rPr>
        <w:t>(s)</w:t>
      </w:r>
      <w:r>
        <w:rPr>
          <w:rFonts w:cs="Arial"/>
          <w:bCs/>
        </w:rPr>
        <w:t xml:space="preserve"> with respective page numbers</w:t>
      </w:r>
      <w:r w:rsidR="00800353" w:rsidRPr="00800353">
        <w:rPr>
          <w:rFonts w:cs="Arial"/>
          <w:bCs/>
        </w:rPr>
        <w:t xml:space="preserve"> or </w:t>
      </w:r>
      <w:r>
        <w:rPr>
          <w:rFonts w:cs="Arial"/>
          <w:bCs/>
        </w:rPr>
        <w:t>provide</w:t>
      </w:r>
      <w:r w:rsidR="00800353" w:rsidRPr="00800353">
        <w:rPr>
          <w:rFonts w:cs="Arial"/>
          <w:bCs/>
        </w:rPr>
        <w:t xml:space="preserve"> </w:t>
      </w:r>
      <w:r w:rsidR="00390470">
        <w:rPr>
          <w:rFonts w:cs="Arial"/>
          <w:bCs/>
        </w:rPr>
        <w:t xml:space="preserve">a </w:t>
      </w:r>
      <w:r w:rsidR="00800353" w:rsidRPr="00800353">
        <w:rPr>
          <w:rFonts w:cs="Arial"/>
          <w:bCs/>
        </w:rPr>
        <w:t>narrative in Section 1.2.</w:t>
      </w:r>
    </w:p>
    <w:p w14:paraId="54F0FF46" w14:textId="77777777" w:rsidR="0057108F" w:rsidRPr="00CC3B8C" w:rsidRDefault="0057108F" w:rsidP="0057108F">
      <w:pPr>
        <w:spacing w:after="0"/>
        <w:rPr>
          <w:rFonts w:cs="Arial"/>
          <w:bCs/>
        </w:rPr>
      </w:pPr>
    </w:p>
    <w:tbl>
      <w:tblPr>
        <w:tblW w:w="1107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850"/>
        <w:gridCol w:w="990"/>
        <w:gridCol w:w="1440"/>
        <w:gridCol w:w="2790"/>
      </w:tblGrid>
      <w:tr w:rsidR="00800353" w:rsidRPr="002B465F" w14:paraId="6952DC59" w14:textId="77777777" w:rsidTr="00107D66">
        <w:trPr>
          <w:trHeight w:val="546"/>
        </w:trPr>
        <w:tc>
          <w:tcPr>
            <w:tcW w:w="5850" w:type="dxa"/>
            <w:shd w:val="clear" w:color="auto" w:fill="F9FBFD" w:themeFill="text2" w:themeFillTint="33"/>
            <w:vAlign w:val="center"/>
          </w:tcPr>
          <w:p w14:paraId="42056297" w14:textId="77777777" w:rsidR="00800353" w:rsidRPr="002B465F" w:rsidRDefault="00800353" w:rsidP="0057108F">
            <w:pPr>
              <w:spacing w:after="0"/>
              <w:rPr>
                <w:sz w:val="20"/>
                <w:szCs w:val="20"/>
              </w:rPr>
            </w:pPr>
            <w:r w:rsidRPr="002B465F">
              <w:rPr>
                <w:sz w:val="20"/>
                <w:szCs w:val="20"/>
              </w:rPr>
              <w:t>Key area</w:t>
            </w:r>
          </w:p>
        </w:tc>
        <w:tc>
          <w:tcPr>
            <w:tcW w:w="990" w:type="dxa"/>
            <w:shd w:val="clear" w:color="auto" w:fill="F9FBFD" w:themeFill="text2" w:themeFillTint="33"/>
            <w:vAlign w:val="center"/>
          </w:tcPr>
          <w:p w14:paraId="63A40662" w14:textId="5624853B" w:rsidR="00800353" w:rsidRPr="006860DF" w:rsidRDefault="00800353" w:rsidP="0057108F">
            <w:pPr>
              <w:spacing w:after="0"/>
              <w:jc w:val="center"/>
              <w:rPr>
                <w:iCs/>
                <w:sz w:val="18"/>
                <w:szCs w:val="18"/>
              </w:rPr>
            </w:pPr>
            <w:r w:rsidRPr="006860DF">
              <w:rPr>
                <w:sz w:val="18"/>
                <w:szCs w:val="18"/>
              </w:rPr>
              <w:t xml:space="preserve">Check the box if in </w:t>
            </w:r>
            <w:r w:rsidR="000F0660" w:rsidRPr="006860DF">
              <w:rPr>
                <w:sz w:val="18"/>
                <w:szCs w:val="18"/>
              </w:rPr>
              <w:t>NSP</w:t>
            </w:r>
            <w:r w:rsidRPr="006860DF">
              <w:rPr>
                <w:sz w:val="18"/>
                <w:szCs w:val="18"/>
              </w:rPr>
              <w:t xml:space="preserve"> </w:t>
            </w:r>
          </w:p>
        </w:tc>
        <w:tc>
          <w:tcPr>
            <w:tcW w:w="1440" w:type="dxa"/>
            <w:shd w:val="clear" w:color="auto" w:fill="F9FBFD" w:themeFill="text2" w:themeFillTint="33"/>
            <w:vAlign w:val="center"/>
          </w:tcPr>
          <w:p w14:paraId="2695BB0A" w14:textId="1C1703F2" w:rsidR="00800353" w:rsidRPr="006860DF" w:rsidRDefault="00800353" w:rsidP="0057108F">
            <w:pPr>
              <w:spacing w:after="0"/>
              <w:jc w:val="center"/>
              <w:rPr>
                <w:sz w:val="18"/>
                <w:szCs w:val="18"/>
              </w:rPr>
            </w:pPr>
            <w:r w:rsidRPr="006860DF">
              <w:rPr>
                <w:sz w:val="18"/>
                <w:szCs w:val="18"/>
              </w:rPr>
              <w:t>Relevant section(s) and/or page(s)</w:t>
            </w:r>
            <w:r w:rsidR="00A414AF" w:rsidRPr="006860DF">
              <w:rPr>
                <w:sz w:val="18"/>
                <w:szCs w:val="18"/>
              </w:rPr>
              <w:t xml:space="preserve"> in NSP</w:t>
            </w:r>
          </w:p>
        </w:tc>
        <w:tc>
          <w:tcPr>
            <w:tcW w:w="2790" w:type="dxa"/>
            <w:shd w:val="clear" w:color="auto" w:fill="F9FBFD" w:themeFill="text2" w:themeFillTint="33"/>
            <w:vAlign w:val="center"/>
          </w:tcPr>
          <w:p w14:paraId="59353584" w14:textId="3DEB8383" w:rsidR="00800353" w:rsidRPr="006860DF" w:rsidRDefault="00800353" w:rsidP="0057108F">
            <w:pPr>
              <w:spacing w:after="0"/>
              <w:jc w:val="center"/>
              <w:rPr>
                <w:iCs/>
                <w:sz w:val="18"/>
                <w:szCs w:val="18"/>
              </w:rPr>
            </w:pPr>
            <w:r w:rsidRPr="006860DF">
              <w:rPr>
                <w:sz w:val="18"/>
                <w:szCs w:val="18"/>
              </w:rPr>
              <w:t>If not</w:t>
            </w:r>
            <w:r w:rsidR="00735082" w:rsidRPr="006860DF">
              <w:rPr>
                <w:sz w:val="18"/>
                <w:szCs w:val="18"/>
              </w:rPr>
              <w:t xml:space="preserve"> in NSP</w:t>
            </w:r>
            <w:r w:rsidRPr="006860DF">
              <w:rPr>
                <w:sz w:val="18"/>
                <w:szCs w:val="18"/>
              </w:rPr>
              <w:t>, refer</w:t>
            </w:r>
            <w:r w:rsidR="00BF3353" w:rsidRPr="006860DF">
              <w:rPr>
                <w:sz w:val="18"/>
                <w:szCs w:val="18"/>
              </w:rPr>
              <w:t xml:space="preserve"> </w:t>
            </w:r>
            <w:r w:rsidRPr="006860DF">
              <w:rPr>
                <w:sz w:val="18"/>
                <w:szCs w:val="18"/>
              </w:rPr>
              <w:t>to another document</w:t>
            </w:r>
            <w:r w:rsidR="00390470" w:rsidRPr="006860DF">
              <w:rPr>
                <w:sz w:val="18"/>
                <w:szCs w:val="18"/>
              </w:rPr>
              <w:t xml:space="preserve"> (specifying page numbers)</w:t>
            </w:r>
            <w:r w:rsidR="00B57F3D" w:rsidRPr="006860DF">
              <w:rPr>
                <w:sz w:val="18"/>
                <w:szCs w:val="18"/>
              </w:rPr>
              <w:t xml:space="preserve"> or</w:t>
            </w:r>
            <w:r w:rsidR="00735082" w:rsidRPr="006860DF">
              <w:rPr>
                <w:sz w:val="18"/>
                <w:szCs w:val="18"/>
              </w:rPr>
              <w:t xml:space="preserve"> refer</w:t>
            </w:r>
            <w:r w:rsidR="00B57F3D" w:rsidRPr="006860DF">
              <w:rPr>
                <w:sz w:val="18"/>
                <w:szCs w:val="18"/>
              </w:rPr>
              <w:t xml:space="preserve"> to</w:t>
            </w:r>
            <w:r w:rsidRPr="006860DF">
              <w:rPr>
                <w:sz w:val="18"/>
                <w:szCs w:val="18"/>
              </w:rPr>
              <w:t xml:space="preserve"> Section 1.2</w:t>
            </w:r>
          </w:p>
        </w:tc>
      </w:tr>
      <w:tr w:rsidR="00800353" w:rsidRPr="002B465F" w14:paraId="5A25EAAA" w14:textId="77777777" w:rsidTr="00107D66">
        <w:trPr>
          <w:trHeight w:val="391"/>
        </w:trPr>
        <w:tc>
          <w:tcPr>
            <w:tcW w:w="11070" w:type="dxa"/>
            <w:gridSpan w:val="4"/>
            <w:shd w:val="clear" w:color="auto" w:fill="F2F2F2" w:themeFill="background1" w:themeFillShade="F2"/>
            <w:vAlign w:val="center"/>
          </w:tcPr>
          <w:p w14:paraId="2ADC228B" w14:textId="7EB6E919" w:rsidR="00800353" w:rsidRPr="006860DF" w:rsidRDefault="00FB0930" w:rsidP="0057108F">
            <w:pPr>
              <w:spacing w:after="0" w:line="240" w:lineRule="auto"/>
              <w:rPr>
                <w:rFonts w:eastAsia="SimSun"/>
                <w:b/>
                <w:sz w:val="18"/>
                <w:szCs w:val="18"/>
                <w:lang w:eastAsia="zh-CN"/>
              </w:rPr>
            </w:pPr>
            <w:r w:rsidRPr="006860DF">
              <w:rPr>
                <w:b/>
                <w:sz w:val="18"/>
                <w:szCs w:val="18"/>
              </w:rPr>
              <w:t xml:space="preserve">Cross-cutting </w:t>
            </w:r>
          </w:p>
        </w:tc>
      </w:tr>
      <w:tr w:rsidR="00CE48A9" w:rsidRPr="002B465F" w14:paraId="313BD691" w14:textId="77777777" w:rsidTr="0057108F">
        <w:trPr>
          <w:trHeight w:val="342"/>
        </w:trPr>
        <w:tc>
          <w:tcPr>
            <w:tcW w:w="5850" w:type="dxa"/>
            <w:shd w:val="clear" w:color="auto" w:fill="F2F2F2" w:themeFill="background1" w:themeFillShade="F2"/>
            <w:vAlign w:val="center"/>
          </w:tcPr>
          <w:p w14:paraId="7BA85020" w14:textId="77777777" w:rsidR="00CE48A9" w:rsidRPr="006860DF" w:rsidRDefault="00CE48A9" w:rsidP="00CE48A9">
            <w:pPr>
              <w:tabs>
                <w:tab w:val="left" w:pos="360"/>
              </w:tabs>
              <w:spacing w:after="0" w:line="360" w:lineRule="auto"/>
              <w:rPr>
                <w:bCs/>
                <w:iCs/>
                <w:sz w:val="18"/>
                <w:szCs w:val="18"/>
              </w:rPr>
            </w:pPr>
            <w:r w:rsidRPr="006860DF">
              <w:rPr>
                <w:bCs/>
                <w:iCs/>
                <w:sz w:val="18"/>
                <w:szCs w:val="18"/>
              </w:rPr>
              <w:t>Health system overview</w:t>
            </w:r>
          </w:p>
        </w:tc>
        <w:tc>
          <w:tcPr>
            <w:tcW w:w="990" w:type="dxa"/>
            <w:vAlign w:val="center"/>
          </w:tcPr>
          <w:p w14:paraId="0316C9B3" w14:textId="14067534" w:rsidR="00CE48A9" w:rsidRPr="006860DF" w:rsidRDefault="00CE48A9" w:rsidP="00CE48A9">
            <w:pPr>
              <w:spacing w:after="0"/>
              <w:ind w:left="-20" w:right="-54"/>
              <w:jc w:val="center"/>
              <w:rPr>
                <w:b/>
                <w:bCs/>
                <w:iCs/>
                <w:sz w:val="18"/>
                <w:szCs w:val="18"/>
              </w:rPr>
            </w:pPr>
            <w:sdt>
              <w:sdtPr>
                <w:rPr>
                  <w:b/>
                  <w:bCs/>
                  <w:iCs/>
                  <w:sz w:val="18"/>
                  <w:szCs w:val="18"/>
                </w:rPr>
                <w:id w:val="222267141"/>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1C448510" w14:textId="26560AA9" w:rsidR="00CE48A9" w:rsidRPr="006860DF" w:rsidRDefault="00CE48A9" w:rsidP="00CE48A9">
            <w:pPr>
              <w:spacing w:after="0"/>
              <w:jc w:val="center"/>
              <w:rPr>
                <w:b/>
                <w:bCs/>
                <w:iCs/>
                <w:sz w:val="18"/>
                <w:szCs w:val="18"/>
              </w:rPr>
            </w:pPr>
            <w:r>
              <w:rPr>
                <w:b/>
                <w:bCs/>
                <w:iCs/>
                <w:sz w:val="18"/>
                <w:szCs w:val="18"/>
              </w:rPr>
              <w:t>3.1</w:t>
            </w:r>
          </w:p>
        </w:tc>
        <w:tc>
          <w:tcPr>
            <w:tcW w:w="2790" w:type="dxa"/>
            <w:vAlign w:val="center"/>
          </w:tcPr>
          <w:p w14:paraId="0BB170AA"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577A92E1" w14:textId="77777777" w:rsidTr="0057108F">
        <w:trPr>
          <w:trHeight w:val="220"/>
        </w:trPr>
        <w:tc>
          <w:tcPr>
            <w:tcW w:w="5850" w:type="dxa"/>
            <w:shd w:val="clear" w:color="auto" w:fill="F2F2F2" w:themeFill="background1" w:themeFillShade="F2"/>
            <w:vAlign w:val="center"/>
          </w:tcPr>
          <w:p w14:paraId="5FA343FA" w14:textId="77777777" w:rsidR="00CE48A9" w:rsidRPr="006860DF" w:rsidRDefault="00CE48A9" w:rsidP="00CE48A9">
            <w:pPr>
              <w:tabs>
                <w:tab w:val="left" w:pos="360"/>
              </w:tabs>
              <w:spacing w:after="0" w:line="360" w:lineRule="auto"/>
              <w:rPr>
                <w:bCs/>
                <w:iCs/>
                <w:sz w:val="18"/>
                <w:szCs w:val="18"/>
              </w:rPr>
            </w:pPr>
            <w:r w:rsidRPr="006860DF">
              <w:rPr>
                <w:bCs/>
                <w:iCs/>
                <w:sz w:val="18"/>
                <w:szCs w:val="18"/>
              </w:rPr>
              <w:t>Health sector strategy</w:t>
            </w:r>
          </w:p>
        </w:tc>
        <w:tc>
          <w:tcPr>
            <w:tcW w:w="990" w:type="dxa"/>
            <w:vAlign w:val="center"/>
          </w:tcPr>
          <w:p w14:paraId="1573BCB8" w14:textId="5AF2DD22" w:rsidR="00CE48A9" w:rsidRPr="006860DF" w:rsidRDefault="00CE48A9" w:rsidP="00CE48A9">
            <w:pPr>
              <w:spacing w:after="0"/>
              <w:ind w:left="-20"/>
              <w:jc w:val="center"/>
              <w:rPr>
                <w:b/>
                <w:bCs/>
                <w:iCs/>
                <w:sz w:val="18"/>
                <w:szCs w:val="18"/>
              </w:rPr>
            </w:pPr>
            <w:sdt>
              <w:sdtPr>
                <w:rPr>
                  <w:b/>
                  <w:bCs/>
                  <w:iCs/>
                  <w:sz w:val="18"/>
                  <w:szCs w:val="18"/>
                </w:rPr>
                <w:id w:val="-905383375"/>
                <w14:checkbox>
                  <w14:checked w14:val="0"/>
                  <w14:checkedState w14:val="2612" w14:font="MS Gothic"/>
                  <w14:uncheckedState w14:val="2610" w14:font="MS Gothic"/>
                </w14:checkbox>
              </w:sdtPr>
              <w:sdtContent>
                <w:r w:rsidRPr="006860DF">
                  <w:rPr>
                    <w:rFonts w:ascii="MS Gothic" w:eastAsia="MS Gothic" w:hAnsi="MS Gothic" w:hint="eastAsia"/>
                    <w:b/>
                    <w:bCs/>
                    <w:iCs/>
                    <w:sz w:val="18"/>
                    <w:szCs w:val="18"/>
                  </w:rPr>
                  <w:t>☐</w:t>
                </w:r>
              </w:sdtContent>
            </w:sdt>
          </w:p>
        </w:tc>
        <w:tc>
          <w:tcPr>
            <w:tcW w:w="1440" w:type="dxa"/>
            <w:vAlign w:val="center"/>
          </w:tcPr>
          <w:p w14:paraId="141B8BBB" w14:textId="77777777" w:rsidR="00CE48A9" w:rsidRPr="006860DF" w:rsidRDefault="00CE48A9" w:rsidP="00CE48A9">
            <w:pPr>
              <w:spacing w:after="0"/>
              <w:jc w:val="center"/>
              <w:rPr>
                <w:b/>
                <w:bCs/>
                <w:iCs/>
                <w:sz w:val="18"/>
                <w:szCs w:val="18"/>
              </w:rPr>
            </w:pPr>
          </w:p>
        </w:tc>
        <w:tc>
          <w:tcPr>
            <w:tcW w:w="2790" w:type="dxa"/>
            <w:vAlign w:val="center"/>
          </w:tcPr>
          <w:p w14:paraId="0F77DE13" w14:textId="4F974EE1" w:rsidR="00CE48A9" w:rsidRPr="004D5A7C" w:rsidRDefault="00CE48A9" w:rsidP="00CE48A9">
            <w:pPr>
              <w:spacing w:after="0" w:line="240" w:lineRule="auto"/>
              <w:jc w:val="center"/>
              <w:rPr>
                <w:rFonts w:eastAsia="SimSun"/>
                <w:sz w:val="18"/>
                <w:szCs w:val="18"/>
                <w:lang w:eastAsia="zh-CN"/>
              </w:rPr>
            </w:pPr>
            <w:r w:rsidRPr="004D5A7C">
              <w:rPr>
                <w:rFonts w:eastAsia="SimSun"/>
                <w:sz w:val="18"/>
                <w:szCs w:val="18"/>
                <w:lang w:eastAsia="zh-CN"/>
              </w:rPr>
              <w:t>4th HEALTH, POPULATION AND NUTRITION SECTOR PROGRAM</w:t>
            </w:r>
            <w:r>
              <w:rPr>
                <w:rFonts w:eastAsia="SimSun"/>
                <w:sz w:val="18"/>
                <w:szCs w:val="18"/>
                <w:lang w:eastAsia="zh-CN"/>
              </w:rPr>
              <w:t>,</w:t>
            </w:r>
            <w:r w:rsidRPr="004D5A7C">
              <w:rPr>
                <w:rFonts w:eastAsia="SimSun"/>
                <w:sz w:val="18"/>
                <w:szCs w:val="18"/>
                <w:lang w:eastAsia="zh-CN"/>
              </w:rPr>
              <w:t xml:space="preserve"> </w:t>
            </w:r>
          </w:p>
          <w:p w14:paraId="7FCC30D7" w14:textId="4B70749A" w:rsidR="00CE48A9" w:rsidRPr="006860DF" w:rsidRDefault="00CE48A9" w:rsidP="00CE48A9">
            <w:pPr>
              <w:spacing w:after="0" w:line="240" w:lineRule="auto"/>
              <w:jc w:val="center"/>
              <w:rPr>
                <w:rFonts w:eastAsia="SimSun"/>
                <w:sz w:val="18"/>
                <w:szCs w:val="18"/>
                <w:lang w:eastAsia="zh-CN"/>
              </w:rPr>
            </w:pPr>
            <w:r w:rsidRPr="004D5A7C">
              <w:rPr>
                <w:rFonts w:eastAsia="SimSun"/>
                <w:sz w:val="18"/>
                <w:szCs w:val="18"/>
                <w:lang w:eastAsia="zh-CN"/>
              </w:rPr>
              <w:t>January 2017 - June 2022</w:t>
            </w:r>
            <w:r>
              <w:rPr>
                <w:rFonts w:eastAsia="SimSun"/>
                <w:sz w:val="18"/>
                <w:szCs w:val="18"/>
                <w:lang w:eastAsia="zh-CN"/>
              </w:rPr>
              <w:t xml:space="preserve">, </w:t>
            </w:r>
            <w:r w:rsidRPr="004D5A7C">
              <w:rPr>
                <w:rFonts w:eastAsia="SimSun"/>
                <w:sz w:val="18"/>
                <w:szCs w:val="18"/>
                <w:lang w:eastAsia="zh-CN"/>
              </w:rPr>
              <w:t>Ministry of Health and Family Welfare, Government of the People’s Republic of Bangladesh</w:t>
            </w:r>
          </w:p>
        </w:tc>
      </w:tr>
      <w:tr w:rsidR="00CE48A9" w:rsidRPr="002B465F" w14:paraId="069AC225" w14:textId="77777777" w:rsidTr="0057108F">
        <w:trPr>
          <w:trHeight w:val="220"/>
        </w:trPr>
        <w:tc>
          <w:tcPr>
            <w:tcW w:w="5850" w:type="dxa"/>
            <w:shd w:val="clear" w:color="auto" w:fill="F2F2F2" w:themeFill="background1" w:themeFillShade="F2"/>
            <w:vAlign w:val="center"/>
          </w:tcPr>
          <w:p w14:paraId="14619570" w14:textId="77777777" w:rsidR="00CE48A9" w:rsidRPr="006860DF" w:rsidRDefault="00CE48A9" w:rsidP="00CE48A9">
            <w:pPr>
              <w:tabs>
                <w:tab w:val="left" w:pos="338"/>
              </w:tabs>
              <w:spacing w:after="0" w:line="360" w:lineRule="auto"/>
              <w:rPr>
                <w:bCs/>
                <w:iCs/>
                <w:sz w:val="18"/>
                <w:szCs w:val="18"/>
              </w:rPr>
            </w:pPr>
            <w:r w:rsidRPr="006860DF">
              <w:rPr>
                <w:bCs/>
                <w:iCs/>
                <w:sz w:val="18"/>
                <w:szCs w:val="18"/>
              </w:rPr>
              <w:t xml:space="preserve">Community responses and systems </w:t>
            </w:r>
          </w:p>
        </w:tc>
        <w:tc>
          <w:tcPr>
            <w:tcW w:w="990" w:type="dxa"/>
            <w:vAlign w:val="center"/>
          </w:tcPr>
          <w:p w14:paraId="7EAE990A" w14:textId="49B5ECBE" w:rsidR="00CE48A9" w:rsidRPr="006860DF" w:rsidRDefault="00CE48A9" w:rsidP="00CE48A9">
            <w:pPr>
              <w:spacing w:after="0"/>
              <w:ind w:left="-20"/>
              <w:jc w:val="center"/>
              <w:rPr>
                <w:b/>
                <w:bCs/>
                <w:iCs/>
                <w:sz w:val="18"/>
                <w:szCs w:val="18"/>
              </w:rPr>
            </w:pPr>
            <w:sdt>
              <w:sdtPr>
                <w:rPr>
                  <w:b/>
                  <w:bCs/>
                  <w:iCs/>
                  <w:sz w:val="18"/>
                  <w:szCs w:val="18"/>
                </w:rPr>
                <w:id w:val="-146079417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0B320D0C" w14:textId="3558DC14" w:rsidR="00CE48A9" w:rsidRPr="006860DF" w:rsidRDefault="00CE48A9" w:rsidP="00CE48A9">
            <w:pPr>
              <w:spacing w:after="0"/>
              <w:jc w:val="center"/>
              <w:rPr>
                <w:b/>
                <w:bCs/>
                <w:iCs/>
                <w:sz w:val="18"/>
                <w:szCs w:val="18"/>
              </w:rPr>
            </w:pPr>
            <w:r>
              <w:rPr>
                <w:b/>
                <w:bCs/>
                <w:iCs/>
                <w:sz w:val="18"/>
                <w:szCs w:val="18"/>
              </w:rPr>
              <w:t>8.1.6</w:t>
            </w:r>
          </w:p>
        </w:tc>
        <w:tc>
          <w:tcPr>
            <w:tcW w:w="2790" w:type="dxa"/>
            <w:vAlign w:val="center"/>
          </w:tcPr>
          <w:p w14:paraId="1A2B34F1"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14FCCFBC" w14:textId="77777777" w:rsidTr="0057108F">
        <w:trPr>
          <w:trHeight w:val="220"/>
        </w:trPr>
        <w:tc>
          <w:tcPr>
            <w:tcW w:w="5850" w:type="dxa"/>
            <w:shd w:val="clear" w:color="auto" w:fill="F2F2F2" w:themeFill="background1" w:themeFillShade="F2"/>
            <w:vAlign w:val="center"/>
          </w:tcPr>
          <w:p w14:paraId="6ED1B591" w14:textId="67F13DCC" w:rsidR="00CE48A9" w:rsidRPr="006860DF" w:rsidRDefault="00CE48A9" w:rsidP="00CE48A9">
            <w:pPr>
              <w:tabs>
                <w:tab w:val="left" w:pos="338"/>
              </w:tabs>
              <w:spacing w:after="0" w:line="360" w:lineRule="auto"/>
              <w:rPr>
                <w:bCs/>
                <w:iCs/>
                <w:sz w:val="18"/>
                <w:szCs w:val="18"/>
              </w:rPr>
            </w:pPr>
            <w:r w:rsidRPr="006860DF">
              <w:rPr>
                <w:bCs/>
                <w:iCs/>
                <w:sz w:val="18"/>
                <w:szCs w:val="18"/>
              </w:rPr>
              <w:t>Role of the private sector</w:t>
            </w:r>
          </w:p>
        </w:tc>
        <w:tc>
          <w:tcPr>
            <w:tcW w:w="990" w:type="dxa"/>
            <w:vAlign w:val="center"/>
          </w:tcPr>
          <w:p w14:paraId="7E2F7641" w14:textId="758F106A" w:rsidR="00CE48A9" w:rsidRPr="006860DF" w:rsidRDefault="00CE48A9" w:rsidP="00CE48A9">
            <w:pPr>
              <w:spacing w:after="0"/>
              <w:ind w:left="-20"/>
              <w:jc w:val="center"/>
              <w:rPr>
                <w:b/>
                <w:bCs/>
                <w:iCs/>
                <w:sz w:val="18"/>
                <w:szCs w:val="18"/>
              </w:rPr>
            </w:pPr>
            <w:sdt>
              <w:sdtPr>
                <w:rPr>
                  <w:b/>
                  <w:bCs/>
                  <w:iCs/>
                  <w:sz w:val="18"/>
                  <w:szCs w:val="18"/>
                </w:rPr>
                <w:id w:val="143628648"/>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7DD8A21B" w14:textId="66F51F9F" w:rsidR="00CE48A9" w:rsidRPr="006860DF" w:rsidRDefault="00CE48A9" w:rsidP="00CE48A9">
            <w:pPr>
              <w:spacing w:after="0"/>
              <w:jc w:val="center"/>
              <w:rPr>
                <w:b/>
                <w:bCs/>
                <w:iCs/>
                <w:sz w:val="18"/>
                <w:szCs w:val="18"/>
              </w:rPr>
            </w:pPr>
            <w:r>
              <w:rPr>
                <w:b/>
                <w:bCs/>
                <w:iCs/>
                <w:sz w:val="18"/>
                <w:szCs w:val="18"/>
              </w:rPr>
              <w:t xml:space="preserve">  3.2 &amp;  8.1.16</w:t>
            </w:r>
          </w:p>
        </w:tc>
        <w:tc>
          <w:tcPr>
            <w:tcW w:w="2790" w:type="dxa"/>
            <w:vAlign w:val="center"/>
          </w:tcPr>
          <w:p w14:paraId="7ACFE7CE"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67306D1C" w14:textId="77777777" w:rsidTr="0057108F">
        <w:trPr>
          <w:trHeight w:val="220"/>
        </w:trPr>
        <w:tc>
          <w:tcPr>
            <w:tcW w:w="5850" w:type="dxa"/>
            <w:shd w:val="clear" w:color="auto" w:fill="F2F2F2" w:themeFill="background1" w:themeFillShade="F2"/>
            <w:vAlign w:val="center"/>
          </w:tcPr>
          <w:p w14:paraId="7A16A894" w14:textId="63208345" w:rsidR="00CE48A9" w:rsidRPr="006860DF" w:rsidRDefault="00CE48A9" w:rsidP="00CE48A9">
            <w:pPr>
              <w:tabs>
                <w:tab w:val="left" w:pos="338"/>
              </w:tabs>
              <w:spacing w:after="0" w:line="360" w:lineRule="auto"/>
              <w:rPr>
                <w:bCs/>
                <w:iCs/>
                <w:sz w:val="18"/>
                <w:szCs w:val="18"/>
              </w:rPr>
            </w:pPr>
            <w:r>
              <w:rPr>
                <w:bCs/>
                <w:iCs/>
                <w:sz w:val="18"/>
                <w:szCs w:val="18"/>
              </w:rPr>
              <w:t>Human rights-</w:t>
            </w:r>
            <w:r w:rsidRPr="006860DF">
              <w:rPr>
                <w:bCs/>
                <w:iCs/>
                <w:sz w:val="18"/>
                <w:szCs w:val="18"/>
              </w:rPr>
              <w:t xml:space="preserve">related barriers/inequities in access to health services </w:t>
            </w:r>
          </w:p>
        </w:tc>
        <w:tc>
          <w:tcPr>
            <w:tcW w:w="990" w:type="dxa"/>
            <w:vAlign w:val="center"/>
          </w:tcPr>
          <w:p w14:paraId="524E3D3C" w14:textId="0380EC20" w:rsidR="00CE48A9" w:rsidRPr="006860DF" w:rsidRDefault="00CE48A9" w:rsidP="00CE48A9">
            <w:pPr>
              <w:spacing w:after="0"/>
              <w:ind w:left="-20"/>
              <w:jc w:val="center"/>
              <w:rPr>
                <w:b/>
                <w:bCs/>
                <w:iCs/>
                <w:sz w:val="18"/>
                <w:szCs w:val="18"/>
              </w:rPr>
            </w:pPr>
            <w:sdt>
              <w:sdtPr>
                <w:rPr>
                  <w:b/>
                  <w:bCs/>
                  <w:iCs/>
                  <w:sz w:val="18"/>
                  <w:szCs w:val="18"/>
                </w:rPr>
                <w:id w:val="1699503238"/>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1E901039" w14:textId="5D232013" w:rsidR="00CE48A9" w:rsidRPr="006860DF" w:rsidRDefault="00CE48A9" w:rsidP="00CE48A9">
            <w:pPr>
              <w:spacing w:after="0"/>
              <w:jc w:val="center"/>
              <w:rPr>
                <w:b/>
                <w:bCs/>
                <w:iCs/>
                <w:sz w:val="18"/>
                <w:szCs w:val="18"/>
              </w:rPr>
            </w:pPr>
            <w:r>
              <w:rPr>
                <w:b/>
                <w:bCs/>
                <w:iCs/>
                <w:sz w:val="18"/>
                <w:szCs w:val="18"/>
              </w:rPr>
              <w:t>8.1.15</w:t>
            </w:r>
          </w:p>
        </w:tc>
        <w:tc>
          <w:tcPr>
            <w:tcW w:w="2790" w:type="dxa"/>
            <w:vAlign w:val="center"/>
          </w:tcPr>
          <w:p w14:paraId="17CB23FD"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352F07C9" w14:textId="77777777" w:rsidTr="0057108F">
        <w:trPr>
          <w:trHeight w:val="220"/>
        </w:trPr>
        <w:tc>
          <w:tcPr>
            <w:tcW w:w="5850" w:type="dxa"/>
            <w:shd w:val="clear" w:color="auto" w:fill="F2F2F2" w:themeFill="background1" w:themeFillShade="F2"/>
            <w:vAlign w:val="center"/>
          </w:tcPr>
          <w:p w14:paraId="47D6C0F6" w14:textId="50972A19" w:rsidR="00CE48A9" w:rsidRPr="006860DF" w:rsidRDefault="00CE48A9" w:rsidP="00CE48A9">
            <w:pPr>
              <w:tabs>
                <w:tab w:val="left" w:pos="338"/>
              </w:tabs>
              <w:spacing w:after="0" w:line="360" w:lineRule="auto"/>
              <w:rPr>
                <w:bCs/>
                <w:iCs/>
                <w:sz w:val="18"/>
                <w:szCs w:val="18"/>
              </w:rPr>
            </w:pPr>
            <w:r w:rsidRPr="006860DF">
              <w:rPr>
                <w:bCs/>
                <w:iCs/>
                <w:sz w:val="18"/>
                <w:szCs w:val="18"/>
              </w:rPr>
              <w:t xml:space="preserve">Gender and age-related barriers/inequities in access to health services </w:t>
            </w:r>
          </w:p>
        </w:tc>
        <w:tc>
          <w:tcPr>
            <w:tcW w:w="990" w:type="dxa"/>
            <w:vAlign w:val="center"/>
          </w:tcPr>
          <w:p w14:paraId="14B56587" w14:textId="64D1EA42" w:rsidR="00CE48A9" w:rsidRPr="006860DF" w:rsidRDefault="00CE48A9" w:rsidP="00CE48A9">
            <w:pPr>
              <w:spacing w:after="0"/>
              <w:ind w:left="-20"/>
              <w:jc w:val="center"/>
              <w:rPr>
                <w:b/>
                <w:bCs/>
                <w:iCs/>
                <w:sz w:val="18"/>
                <w:szCs w:val="18"/>
              </w:rPr>
            </w:pPr>
            <w:sdt>
              <w:sdtPr>
                <w:rPr>
                  <w:b/>
                  <w:bCs/>
                  <w:iCs/>
                  <w:sz w:val="18"/>
                  <w:szCs w:val="18"/>
                </w:rPr>
                <w:id w:val="1625272424"/>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0E049C73" w14:textId="3673F28E" w:rsidR="00CE48A9" w:rsidRPr="006860DF" w:rsidRDefault="00CE48A9" w:rsidP="00CE48A9">
            <w:pPr>
              <w:spacing w:after="0"/>
              <w:jc w:val="center"/>
              <w:rPr>
                <w:b/>
                <w:bCs/>
                <w:iCs/>
                <w:sz w:val="18"/>
                <w:szCs w:val="18"/>
              </w:rPr>
            </w:pPr>
            <w:r>
              <w:rPr>
                <w:b/>
                <w:bCs/>
                <w:iCs/>
                <w:sz w:val="18"/>
                <w:szCs w:val="18"/>
              </w:rPr>
              <w:t>8.1.6</w:t>
            </w:r>
          </w:p>
        </w:tc>
        <w:tc>
          <w:tcPr>
            <w:tcW w:w="2790" w:type="dxa"/>
            <w:vAlign w:val="center"/>
          </w:tcPr>
          <w:p w14:paraId="61F2A84A"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77889C77" w14:textId="77777777" w:rsidTr="0057108F">
        <w:trPr>
          <w:trHeight w:val="220"/>
        </w:trPr>
        <w:tc>
          <w:tcPr>
            <w:tcW w:w="5850" w:type="dxa"/>
            <w:shd w:val="clear" w:color="auto" w:fill="F2F2F2" w:themeFill="background1" w:themeFillShade="F2"/>
            <w:vAlign w:val="center"/>
          </w:tcPr>
          <w:p w14:paraId="684A68E2" w14:textId="74603FD9" w:rsidR="00CE48A9" w:rsidRPr="006860DF" w:rsidRDefault="00CE48A9" w:rsidP="00CE48A9">
            <w:pPr>
              <w:tabs>
                <w:tab w:val="left" w:pos="338"/>
              </w:tabs>
              <w:spacing w:after="0" w:line="276" w:lineRule="auto"/>
              <w:rPr>
                <w:bCs/>
                <w:iCs/>
                <w:sz w:val="18"/>
                <w:szCs w:val="18"/>
              </w:rPr>
            </w:pPr>
            <w:r w:rsidRPr="006860DF">
              <w:rPr>
                <w:bCs/>
                <w:iCs/>
                <w:sz w:val="18"/>
                <w:szCs w:val="18"/>
              </w:rPr>
              <w:t xml:space="preserve">Economic, geographic and other barriers/inequities in access to health services  </w:t>
            </w:r>
          </w:p>
        </w:tc>
        <w:tc>
          <w:tcPr>
            <w:tcW w:w="990" w:type="dxa"/>
            <w:vAlign w:val="center"/>
          </w:tcPr>
          <w:p w14:paraId="09A68F28" w14:textId="716D5C9D" w:rsidR="00CE48A9" w:rsidRPr="006860DF" w:rsidRDefault="00CE48A9" w:rsidP="00CE48A9">
            <w:pPr>
              <w:spacing w:after="0"/>
              <w:ind w:left="-20"/>
              <w:jc w:val="center"/>
              <w:rPr>
                <w:b/>
                <w:bCs/>
                <w:iCs/>
                <w:sz w:val="18"/>
                <w:szCs w:val="18"/>
              </w:rPr>
            </w:pPr>
            <w:sdt>
              <w:sdtPr>
                <w:rPr>
                  <w:b/>
                  <w:bCs/>
                  <w:iCs/>
                  <w:sz w:val="18"/>
                  <w:szCs w:val="18"/>
                </w:rPr>
                <w:id w:val="-93536079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55CE97F8" w14:textId="6DF9FED7" w:rsidR="00CE48A9" w:rsidRPr="006860DF" w:rsidRDefault="00CE48A9" w:rsidP="00CE48A9">
            <w:pPr>
              <w:spacing w:after="0"/>
              <w:jc w:val="center"/>
              <w:rPr>
                <w:b/>
                <w:bCs/>
                <w:iCs/>
                <w:sz w:val="18"/>
                <w:szCs w:val="18"/>
              </w:rPr>
            </w:pPr>
            <w:r>
              <w:rPr>
                <w:b/>
                <w:bCs/>
                <w:iCs/>
                <w:sz w:val="18"/>
                <w:szCs w:val="18"/>
              </w:rPr>
              <w:t>4.1</w:t>
            </w:r>
          </w:p>
        </w:tc>
        <w:tc>
          <w:tcPr>
            <w:tcW w:w="2790" w:type="dxa"/>
            <w:vAlign w:val="center"/>
          </w:tcPr>
          <w:p w14:paraId="71A8E5E6" w14:textId="77777777" w:rsidR="00CE48A9" w:rsidRPr="006860DF" w:rsidRDefault="00CE48A9" w:rsidP="00CE48A9">
            <w:pPr>
              <w:spacing w:after="0" w:line="240" w:lineRule="auto"/>
              <w:jc w:val="center"/>
              <w:rPr>
                <w:rFonts w:eastAsia="SimSun"/>
                <w:sz w:val="18"/>
                <w:szCs w:val="18"/>
                <w:lang w:eastAsia="zh-CN"/>
              </w:rPr>
            </w:pPr>
            <w:bookmarkStart w:id="6" w:name="_GoBack"/>
            <w:bookmarkEnd w:id="6"/>
          </w:p>
        </w:tc>
      </w:tr>
      <w:tr w:rsidR="00CE48A9" w:rsidRPr="002B465F" w14:paraId="0114F39A" w14:textId="77777777" w:rsidTr="0057108F">
        <w:trPr>
          <w:trHeight w:val="220"/>
        </w:trPr>
        <w:tc>
          <w:tcPr>
            <w:tcW w:w="5850" w:type="dxa"/>
            <w:shd w:val="clear" w:color="auto" w:fill="F2F2F2" w:themeFill="background1" w:themeFillShade="F2"/>
            <w:vAlign w:val="center"/>
          </w:tcPr>
          <w:p w14:paraId="4EE7816F" w14:textId="77777777" w:rsidR="00CE48A9" w:rsidRPr="006860DF" w:rsidRDefault="00CE48A9" w:rsidP="00CE48A9">
            <w:pPr>
              <w:tabs>
                <w:tab w:val="left" w:pos="338"/>
              </w:tabs>
              <w:spacing w:after="0" w:line="360" w:lineRule="auto"/>
              <w:rPr>
                <w:bCs/>
                <w:iCs/>
                <w:sz w:val="18"/>
                <w:szCs w:val="18"/>
              </w:rPr>
            </w:pPr>
            <w:r w:rsidRPr="006860DF">
              <w:rPr>
                <w:bCs/>
                <w:iCs/>
                <w:sz w:val="18"/>
                <w:szCs w:val="18"/>
              </w:rPr>
              <w:t>Role of community groups in the design and delivery of programs</w:t>
            </w:r>
          </w:p>
        </w:tc>
        <w:tc>
          <w:tcPr>
            <w:tcW w:w="990" w:type="dxa"/>
            <w:vAlign w:val="center"/>
          </w:tcPr>
          <w:p w14:paraId="225D5113" w14:textId="158E727E" w:rsidR="00CE48A9" w:rsidRPr="006860DF" w:rsidRDefault="00CE48A9" w:rsidP="00CE48A9">
            <w:pPr>
              <w:spacing w:after="0"/>
              <w:ind w:left="-20"/>
              <w:jc w:val="center"/>
              <w:rPr>
                <w:b/>
                <w:bCs/>
                <w:iCs/>
                <w:sz w:val="18"/>
                <w:szCs w:val="18"/>
              </w:rPr>
            </w:pPr>
            <w:sdt>
              <w:sdtPr>
                <w:rPr>
                  <w:b/>
                  <w:bCs/>
                  <w:iCs/>
                  <w:sz w:val="18"/>
                  <w:szCs w:val="18"/>
                </w:rPr>
                <w:id w:val="-2004429924"/>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70FBFFE5" w14:textId="192F1648" w:rsidR="00CE48A9" w:rsidRPr="006860DF" w:rsidRDefault="00CE48A9" w:rsidP="00CE48A9">
            <w:pPr>
              <w:spacing w:after="0"/>
              <w:jc w:val="center"/>
              <w:rPr>
                <w:b/>
                <w:bCs/>
                <w:iCs/>
                <w:sz w:val="18"/>
                <w:szCs w:val="18"/>
              </w:rPr>
            </w:pPr>
            <w:r>
              <w:rPr>
                <w:b/>
                <w:bCs/>
                <w:iCs/>
                <w:sz w:val="18"/>
                <w:szCs w:val="18"/>
              </w:rPr>
              <w:t>8.1.6</w:t>
            </w:r>
          </w:p>
        </w:tc>
        <w:tc>
          <w:tcPr>
            <w:tcW w:w="2790" w:type="dxa"/>
            <w:vAlign w:val="center"/>
          </w:tcPr>
          <w:p w14:paraId="0E94E4AA"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0401A6DD" w14:textId="77777777" w:rsidTr="0057108F">
        <w:trPr>
          <w:trHeight w:val="220"/>
        </w:trPr>
        <w:tc>
          <w:tcPr>
            <w:tcW w:w="5850" w:type="dxa"/>
            <w:shd w:val="clear" w:color="auto" w:fill="F2F2F2" w:themeFill="background1" w:themeFillShade="F2"/>
            <w:vAlign w:val="center"/>
          </w:tcPr>
          <w:p w14:paraId="1BD20402" w14:textId="77777777" w:rsidR="00CE48A9" w:rsidRPr="006860DF" w:rsidRDefault="00CE48A9" w:rsidP="00CE48A9">
            <w:pPr>
              <w:tabs>
                <w:tab w:val="left" w:pos="338"/>
              </w:tabs>
              <w:spacing w:after="0" w:line="360" w:lineRule="auto"/>
              <w:rPr>
                <w:bCs/>
                <w:iCs/>
                <w:sz w:val="18"/>
                <w:szCs w:val="18"/>
              </w:rPr>
            </w:pPr>
            <w:r w:rsidRPr="006860DF">
              <w:rPr>
                <w:bCs/>
                <w:iCs/>
                <w:sz w:val="18"/>
                <w:szCs w:val="18"/>
              </w:rPr>
              <w:t xml:space="preserve">Linkage between disease specific NSPs and sector strategies </w:t>
            </w:r>
          </w:p>
        </w:tc>
        <w:tc>
          <w:tcPr>
            <w:tcW w:w="990" w:type="dxa"/>
            <w:vAlign w:val="center"/>
          </w:tcPr>
          <w:p w14:paraId="62F088E2" w14:textId="3747BCC1" w:rsidR="00CE48A9" w:rsidRPr="006860DF" w:rsidRDefault="00CE48A9" w:rsidP="00CE48A9">
            <w:pPr>
              <w:spacing w:after="0"/>
              <w:ind w:left="-20"/>
              <w:jc w:val="center"/>
              <w:rPr>
                <w:b/>
                <w:bCs/>
                <w:iCs/>
                <w:sz w:val="18"/>
                <w:szCs w:val="18"/>
              </w:rPr>
            </w:pPr>
            <w:sdt>
              <w:sdtPr>
                <w:rPr>
                  <w:b/>
                  <w:bCs/>
                  <w:iCs/>
                  <w:sz w:val="18"/>
                  <w:szCs w:val="18"/>
                </w:rPr>
                <w:id w:val="-1282798140"/>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40C0285F" w14:textId="63EA5694" w:rsidR="00CE48A9" w:rsidRPr="006860DF" w:rsidRDefault="00CE48A9" w:rsidP="00CE48A9">
            <w:pPr>
              <w:spacing w:after="0"/>
              <w:jc w:val="center"/>
              <w:rPr>
                <w:rStyle w:val="CommentReference"/>
                <w:sz w:val="18"/>
                <w:szCs w:val="18"/>
              </w:rPr>
            </w:pPr>
            <w:r w:rsidRPr="00033ADB">
              <w:rPr>
                <w:rStyle w:val="CommentReference"/>
                <w:b/>
                <w:sz w:val="18"/>
                <w:szCs w:val="18"/>
              </w:rPr>
              <w:t>5</w:t>
            </w:r>
          </w:p>
        </w:tc>
        <w:tc>
          <w:tcPr>
            <w:tcW w:w="2790" w:type="dxa"/>
            <w:vAlign w:val="center"/>
          </w:tcPr>
          <w:p w14:paraId="26D993A3"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7A8EC7D5" w14:textId="77777777" w:rsidTr="0057108F">
        <w:trPr>
          <w:trHeight w:val="220"/>
        </w:trPr>
        <w:tc>
          <w:tcPr>
            <w:tcW w:w="5850" w:type="dxa"/>
            <w:shd w:val="clear" w:color="auto" w:fill="F2F2F2" w:themeFill="background1" w:themeFillShade="F2"/>
            <w:vAlign w:val="center"/>
          </w:tcPr>
          <w:p w14:paraId="5017EE52" w14:textId="1D0801B6" w:rsidR="00CE48A9" w:rsidRPr="006860DF" w:rsidRDefault="00CE48A9" w:rsidP="00CE48A9">
            <w:pPr>
              <w:tabs>
                <w:tab w:val="left" w:pos="338"/>
              </w:tabs>
              <w:spacing w:after="0" w:line="360" w:lineRule="auto"/>
              <w:rPr>
                <w:bCs/>
                <w:iCs/>
                <w:sz w:val="18"/>
                <w:szCs w:val="18"/>
              </w:rPr>
            </w:pPr>
            <w:r w:rsidRPr="006860DF">
              <w:rPr>
                <w:bCs/>
                <w:iCs/>
                <w:sz w:val="18"/>
                <w:szCs w:val="18"/>
              </w:rPr>
              <w:t>Other</w:t>
            </w:r>
          </w:p>
        </w:tc>
        <w:tc>
          <w:tcPr>
            <w:tcW w:w="990" w:type="dxa"/>
            <w:vAlign w:val="center"/>
          </w:tcPr>
          <w:p w14:paraId="411EA6F7" w14:textId="60B24114" w:rsidR="00CE48A9" w:rsidRPr="006860DF" w:rsidRDefault="00CE48A9" w:rsidP="00CE48A9">
            <w:pPr>
              <w:spacing w:after="0"/>
              <w:ind w:left="-20"/>
              <w:jc w:val="center"/>
              <w:rPr>
                <w:b/>
                <w:bCs/>
                <w:iCs/>
                <w:sz w:val="18"/>
                <w:szCs w:val="18"/>
              </w:rPr>
            </w:pPr>
            <w:sdt>
              <w:sdtPr>
                <w:rPr>
                  <w:b/>
                  <w:bCs/>
                  <w:iCs/>
                  <w:sz w:val="18"/>
                  <w:szCs w:val="18"/>
                </w:rPr>
                <w:id w:val="1324396921"/>
                <w14:checkbox>
                  <w14:checked w14:val="0"/>
                  <w14:checkedState w14:val="2612" w14:font="MS Gothic"/>
                  <w14:uncheckedState w14:val="2610" w14:font="MS Gothic"/>
                </w14:checkbox>
              </w:sdtPr>
              <w:sdtContent>
                <w:r w:rsidRPr="006860DF">
                  <w:rPr>
                    <w:rFonts w:ascii="Segoe UI Symbol" w:hAnsi="Segoe UI Symbol" w:cs="Segoe UI Symbol"/>
                    <w:b/>
                    <w:bCs/>
                    <w:iCs/>
                    <w:sz w:val="18"/>
                    <w:szCs w:val="18"/>
                  </w:rPr>
                  <w:t>☐</w:t>
                </w:r>
              </w:sdtContent>
            </w:sdt>
          </w:p>
        </w:tc>
        <w:tc>
          <w:tcPr>
            <w:tcW w:w="1440" w:type="dxa"/>
            <w:vAlign w:val="center"/>
          </w:tcPr>
          <w:p w14:paraId="4FF83024" w14:textId="77777777" w:rsidR="00CE48A9" w:rsidRPr="006860DF" w:rsidRDefault="00CE48A9" w:rsidP="00CE48A9">
            <w:pPr>
              <w:spacing w:after="0"/>
              <w:jc w:val="center"/>
              <w:rPr>
                <w:rStyle w:val="CommentReference"/>
                <w:sz w:val="18"/>
                <w:szCs w:val="18"/>
              </w:rPr>
            </w:pPr>
          </w:p>
        </w:tc>
        <w:tc>
          <w:tcPr>
            <w:tcW w:w="2790" w:type="dxa"/>
            <w:vAlign w:val="center"/>
          </w:tcPr>
          <w:p w14:paraId="7F5BA9D2" w14:textId="77777777" w:rsidR="00CE48A9" w:rsidRPr="006860DF" w:rsidRDefault="00CE48A9" w:rsidP="00CE48A9">
            <w:pPr>
              <w:spacing w:after="0" w:line="240" w:lineRule="auto"/>
              <w:jc w:val="center"/>
              <w:rPr>
                <w:rFonts w:eastAsia="SimSun"/>
                <w:sz w:val="18"/>
                <w:szCs w:val="18"/>
                <w:lang w:eastAsia="zh-CN"/>
              </w:rPr>
            </w:pPr>
          </w:p>
        </w:tc>
      </w:tr>
      <w:tr w:rsidR="00CE48A9" w:rsidRPr="002B465F" w14:paraId="00B0D65E" w14:textId="77777777" w:rsidTr="00107D66">
        <w:trPr>
          <w:trHeight w:val="332"/>
        </w:trPr>
        <w:tc>
          <w:tcPr>
            <w:tcW w:w="11070" w:type="dxa"/>
            <w:gridSpan w:val="4"/>
            <w:shd w:val="clear" w:color="auto" w:fill="F2F2F2" w:themeFill="background1" w:themeFillShade="F2"/>
            <w:vAlign w:val="center"/>
          </w:tcPr>
          <w:p w14:paraId="4E6B2D2C" w14:textId="51ACECAC" w:rsidR="00CE48A9" w:rsidRPr="006860DF" w:rsidRDefault="00CE48A9" w:rsidP="00CE48A9">
            <w:pPr>
              <w:spacing w:after="0" w:line="240" w:lineRule="auto"/>
              <w:rPr>
                <w:b/>
                <w:bCs/>
                <w:iCs/>
                <w:sz w:val="18"/>
                <w:szCs w:val="18"/>
              </w:rPr>
            </w:pPr>
            <w:r w:rsidRPr="006860DF">
              <w:rPr>
                <w:b/>
                <w:sz w:val="18"/>
                <w:szCs w:val="18"/>
              </w:rPr>
              <w:t xml:space="preserve">Disease-specific </w:t>
            </w:r>
          </w:p>
        </w:tc>
      </w:tr>
      <w:tr w:rsidR="00CE48A9" w:rsidRPr="002B465F" w14:paraId="71216C27" w14:textId="77777777" w:rsidTr="0057108F">
        <w:trPr>
          <w:trHeight w:val="319"/>
        </w:trPr>
        <w:tc>
          <w:tcPr>
            <w:tcW w:w="5850" w:type="dxa"/>
            <w:shd w:val="clear" w:color="auto" w:fill="F2F2F2" w:themeFill="background1" w:themeFillShade="F2"/>
            <w:vAlign w:val="center"/>
          </w:tcPr>
          <w:p w14:paraId="1B1C7E69" w14:textId="77777777" w:rsidR="00CE48A9" w:rsidRPr="006860DF" w:rsidRDefault="00CE48A9" w:rsidP="00CE48A9">
            <w:pPr>
              <w:tabs>
                <w:tab w:val="left" w:pos="360"/>
              </w:tabs>
              <w:spacing w:after="0"/>
              <w:ind w:right="-54"/>
              <w:rPr>
                <w:bCs/>
                <w:iCs/>
                <w:sz w:val="18"/>
                <w:szCs w:val="18"/>
              </w:rPr>
            </w:pPr>
            <w:r w:rsidRPr="006860DF">
              <w:rPr>
                <w:bCs/>
                <w:iCs/>
                <w:sz w:val="18"/>
                <w:szCs w:val="18"/>
              </w:rPr>
              <w:t>Key stakeholders of NSPs and operational plan development</w:t>
            </w:r>
          </w:p>
        </w:tc>
        <w:tc>
          <w:tcPr>
            <w:tcW w:w="990" w:type="dxa"/>
            <w:vAlign w:val="center"/>
          </w:tcPr>
          <w:p w14:paraId="2F2A46B5" w14:textId="344429B9" w:rsidR="00CE48A9" w:rsidRPr="006860DF" w:rsidRDefault="00CE48A9" w:rsidP="00CE48A9">
            <w:pPr>
              <w:spacing w:after="0"/>
              <w:ind w:left="-20" w:right="-54"/>
              <w:jc w:val="center"/>
              <w:rPr>
                <w:b/>
                <w:bCs/>
                <w:iCs/>
                <w:sz w:val="18"/>
                <w:szCs w:val="18"/>
              </w:rPr>
            </w:pPr>
            <w:sdt>
              <w:sdtPr>
                <w:rPr>
                  <w:b/>
                  <w:bCs/>
                  <w:iCs/>
                  <w:sz w:val="18"/>
                  <w:szCs w:val="18"/>
                </w:rPr>
                <w:id w:val="-1590073124"/>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03E75474" w14:textId="4DA74053" w:rsidR="00CE48A9" w:rsidRPr="006860DF" w:rsidRDefault="00CE48A9" w:rsidP="00CE48A9">
            <w:pPr>
              <w:spacing w:after="0"/>
              <w:jc w:val="center"/>
              <w:rPr>
                <w:b/>
                <w:bCs/>
                <w:iCs/>
                <w:sz w:val="18"/>
                <w:szCs w:val="18"/>
              </w:rPr>
            </w:pPr>
            <w:r>
              <w:rPr>
                <w:b/>
                <w:bCs/>
                <w:iCs/>
                <w:sz w:val="18"/>
                <w:szCs w:val="18"/>
              </w:rPr>
              <w:t>3.2 &amp; 3.4.1</w:t>
            </w:r>
          </w:p>
        </w:tc>
        <w:tc>
          <w:tcPr>
            <w:tcW w:w="2790" w:type="dxa"/>
            <w:vAlign w:val="center"/>
          </w:tcPr>
          <w:p w14:paraId="5C9F94EF" w14:textId="77777777" w:rsidR="00CE48A9" w:rsidRPr="006860DF" w:rsidRDefault="00CE48A9" w:rsidP="00CE48A9">
            <w:pPr>
              <w:spacing w:after="0" w:line="240" w:lineRule="auto"/>
              <w:jc w:val="center"/>
              <w:rPr>
                <w:b/>
                <w:bCs/>
                <w:iCs/>
                <w:sz w:val="18"/>
                <w:szCs w:val="18"/>
              </w:rPr>
            </w:pPr>
          </w:p>
        </w:tc>
      </w:tr>
      <w:tr w:rsidR="00CE48A9" w:rsidRPr="002B465F" w14:paraId="1206B3D2" w14:textId="77777777" w:rsidTr="0057108F">
        <w:trPr>
          <w:trHeight w:val="319"/>
        </w:trPr>
        <w:tc>
          <w:tcPr>
            <w:tcW w:w="5850" w:type="dxa"/>
            <w:shd w:val="clear" w:color="auto" w:fill="F2F2F2" w:themeFill="background1" w:themeFillShade="F2"/>
            <w:vAlign w:val="center"/>
          </w:tcPr>
          <w:p w14:paraId="2A3EF5BA" w14:textId="77777777" w:rsidR="00CE48A9" w:rsidRPr="006860DF" w:rsidRDefault="00CE48A9" w:rsidP="00CE48A9">
            <w:pPr>
              <w:tabs>
                <w:tab w:val="left" w:pos="338"/>
              </w:tabs>
              <w:spacing w:after="0"/>
              <w:rPr>
                <w:bCs/>
                <w:iCs/>
                <w:sz w:val="18"/>
                <w:szCs w:val="18"/>
              </w:rPr>
            </w:pPr>
            <w:r w:rsidRPr="006860DF">
              <w:rPr>
                <w:sz w:val="18"/>
                <w:szCs w:val="18"/>
              </w:rPr>
              <w:t xml:space="preserve">Epidemiological profile </w:t>
            </w:r>
          </w:p>
        </w:tc>
        <w:tc>
          <w:tcPr>
            <w:tcW w:w="990" w:type="dxa"/>
            <w:vAlign w:val="center"/>
          </w:tcPr>
          <w:p w14:paraId="4C65A73A" w14:textId="45BA47E7" w:rsidR="00CE48A9" w:rsidRPr="006860DF" w:rsidRDefault="00CE48A9" w:rsidP="00CE48A9">
            <w:pPr>
              <w:spacing w:after="0"/>
              <w:ind w:left="-20"/>
              <w:jc w:val="center"/>
              <w:rPr>
                <w:b/>
                <w:bCs/>
                <w:iCs/>
                <w:sz w:val="18"/>
                <w:szCs w:val="18"/>
              </w:rPr>
            </w:pPr>
            <w:sdt>
              <w:sdtPr>
                <w:rPr>
                  <w:b/>
                  <w:bCs/>
                  <w:iCs/>
                  <w:sz w:val="18"/>
                  <w:szCs w:val="18"/>
                </w:rPr>
                <w:id w:val="-64589722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72CD40EC" w14:textId="6A479EB9" w:rsidR="00CE48A9" w:rsidRPr="006860DF" w:rsidRDefault="00CE48A9" w:rsidP="00CE48A9">
            <w:pPr>
              <w:spacing w:after="0"/>
              <w:jc w:val="center"/>
              <w:rPr>
                <w:b/>
                <w:bCs/>
                <w:iCs/>
                <w:sz w:val="18"/>
                <w:szCs w:val="18"/>
              </w:rPr>
            </w:pPr>
            <w:r>
              <w:rPr>
                <w:b/>
                <w:bCs/>
                <w:iCs/>
                <w:sz w:val="18"/>
                <w:szCs w:val="18"/>
              </w:rPr>
              <w:t>4</w:t>
            </w:r>
          </w:p>
        </w:tc>
        <w:tc>
          <w:tcPr>
            <w:tcW w:w="2790" w:type="dxa"/>
            <w:vAlign w:val="center"/>
          </w:tcPr>
          <w:p w14:paraId="47408A4E" w14:textId="77777777" w:rsidR="00CE48A9" w:rsidRPr="006860DF" w:rsidRDefault="00CE48A9" w:rsidP="00CE48A9">
            <w:pPr>
              <w:spacing w:after="0" w:line="240" w:lineRule="auto"/>
              <w:jc w:val="center"/>
              <w:rPr>
                <w:b/>
                <w:bCs/>
                <w:iCs/>
                <w:sz w:val="18"/>
                <w:szCs w:val="18"/>
              </w:rPr>
            </w:pPr>
          </w:p>
        </w:tc>
      </w:tr>
      <w:tr w:rsidR="00CE48A9" w:rsidRPr="002B465F" w14:paraId="404F0F1F" w14:textId="77777777" w:rsidTr="0057108F">
        <w:trPr>
          <w:trHeight w:val="341"/>
        </w:trPr>
        <w:tc>
          <w:tcPr>
            <w:tcW w:w="5850" w:type="dxa"/>
            <w:shd w:val="clear" w:color="auto" w:fill="F2F2F2" w:themeFill="background1" w:themeFillShade="F2"/>
            <w:vAlign w:val="center"/>
          </w:tcPr>
          <w:p w14:paraId="262D3ED5" w14:textId="77777777" w:rsidR="00CE48A9" w:rsidRPr="006860DF" w:rsidRDefault="00CE48A9" w:rsidP="00CE48A9">
            <w:pPr>
              <w:tabs>
                <w:tab w:val="left" w:pos="338"/>
              </w:tabs>
              <w:spacing w:after="0"/>
              <w:ind w:right="-54"/>
              <w:rPr>
                <w:bCs/>
                <w:iCs/>
                <w:sz w:val="18"/>
                <w:szCs w:val="18"/>
              </w:rPr>
            </w:pPr>
            <w:r w:rsidRPr="006860DF">
              <w:rPr>
                <w:bCs/>
                <w:iCs/>
                <w:sz w:val="18"/>
                <w:szCs w:val="18"/>
              </w:rPr>
              <w:t>Analysis of key, vulnerable and/or underserved populations</w:t>
            </w:r>
          </w:p>
        </w:tc>
        <w:tc>
          <w:tcPr>
            <w:tcW w:w="990" w:type="dxa"/>
            <w:vAlign w:val="center"/>
          </w:tcPr>
          <w:p w14:paraId="30D0260E" w14:textId="18EB1C3B" w:rsidR="00CE48A9" w:rsidRPr="006860DF" w:rsidRDefault="00CE48A9" w:rsidP="00CE48A9">
            <w:pPr>
              <w:spacing w:after="0"/>
              <w:ind w:left="-20"/>
              <w:jc w:val="center"/>
              <w:rPr>
                <w:b/>
                <w:bCs/>
                <w:iCs/>
                <w:sz w:val="18"/>
                <w:szCs w:val="18"/>
              </w:rPr>
            </w:pPr>
            <w:sdt>
              <w:sdtPr>
                <w:rPr>
                  <w:b/>
                  <w:bCs/>
                  <w:iCs/>
                  <w:sz w:val="18"/>
                  <w:szCs w:val="18"/>
                </w:rPr>
                <w:id w:val="484903237"/>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3C50B529" w14:textId="35D4CC9F" w:rsidR="00CE48A9" w:rsidRPr="006860DF" w:rsidRDefault="00CE48A9" w:rsidP="00CE48A9">
            <w:pPr>
              <w:spacing w:after="0"/>
              <w:jc w:val="center"/>
              <w:rPr>
                <w:b/>
                <w:bCs/>
                <w:iCs/>
                <w:sz w:val="18"/>
                <w:szCs w:val="18"/>
              </w:rPr>
            </w:pPr>
            <w:r>
              <w:rPr>
                <w:b/>
                <w:bCs/>
                <w:iCs/>
                <w:sz w:val="18"/>
                <w:szCs w:val="18"/>
              </w:rPr>
              <w:t>4.7</w:t>
            </w:r>
          </w:p>
        </w:tc>
        <w:tc>
          <w:tcPr>
            <w:tcW w:w="2790" w:type="dxa"/>
            <w:vAlign w:val="center"/>
          </w:tcPr>
          <w:p w14:paraId="7F42CA12" w14:textId="77777777" w:rsidR="00CE48A9" w:rsidRPr="006860DF" w:rsidRDefault="00CE48A9" w:rsidP="00CE48A9">
            <w:pPr>
              <w:spacing w:after="0" w:line="240" w:lineRule="auto"/>
              <w:jc w:val="center"/>
              <w:rPr>
                <w:b/>
                <w:bCs/>
                <w:iCs/>
                <w:sz w:val="18"/>
                <w:szCs w:val="18"/>
              </w:rPr>
            </w:pPr>
          </w:p>
        </w:tc>
      </w:tr>
      <w:tr w:rsidR="00CE48A9" w:rsidRPr="002B465F" w14:paraId="1AFC16EC" w14:textId="77777777" w:rsidTr="0057108F">
        <w:trPr>
          <w:trHeight w:val="341"/>
        </w:trPr>
        <w:tc>
          <w:tcPr>
            <w:tcW w:w="5850" w:type="dxa"/>
            <w:shd w:val="clear" w:color="auto" w:fill="F2F2F2" w:themeFill="background1" w:themeFillShade="F2"/>
            <w:vAlign w:val="center"/>
          </w:tcPr>
          <w:p w14:paraId="3403F865" w14:textId="22D0935B" w:rsidR="00CE48A9" w:rsidRPr="006860DF" w:rsidRDefault="00CE48A9" w:rsidP="00CE48A9">
            <w:pPr>
              <w:tabs>
                <w:tab w:val="left" w:pos="338"/>
              </w:tabs>
              <w:spacing w:after="0"/>
              <w:rPr>
                <w:sz w:val="18"/>
                <w:szCs w:val="18"/>
              </w:rPr>
            </w:pPr>
            <w:r>
              <w:rPr>
                <w:sz w:val="18"/>
                <w:szCs w:val="18"/>
              </w:rPr>
              <w:t>Lessons learned</w:t>
            </w:r>
            <w:r w:rsidRPr="006860DF">
              <w:rPr>
                <w:sz w:val="18"/>
                <w:szCs w:val="18"/>
              </w:rPr>
              <w:t xml:space="preserve"> from past program implementations </w:t>
            </w:r>
          </w:p>
        </w:tc>
        <w:tc>
          <w:tcPr>
            <w:tcW w:w="990" w:type="dxa"/>
            <w:vAlign w:val="center"/>
          </w:tcPr>
          <w:p w14:paraId="175D1642" w14:textId="6E5999D0" w:rsidR="00CE48A9" w:rsidRPr="006860DF" w:rsidRDefault="00CE48A9" w:rsidP="00CE48A9">
            <w:pPr>
              <w:spacing w:after="0"/>
              <w:ind w:left="-20"/>
              <w:jc w:val="center"/>
              <w:rPr>
                <w:b/>
                <w:bCs/>
                <w:iCs/>
                <w:sz w:val="18"/>
                <w:szCs w:val="18"/>
              </w:rPr>
            </w:pPr>
            <w:sdt>
              <w:sdtPr>
                <w:rPr>
                  <w:b/>
                  <w:bCs/>
                  <w:iCs/>
                  <w:sz w:val="18"/>
                  <w:szCs w:val="18"/>
                </w:rPr>
                <w:id w:val="-67025913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692B941A" w14:textId="7C50850E" w:rsidR="00CE48A9" w:rsidRPr="006860DF" w:rsidRDefault="00CE48A9" w:rsidP="00CE48A9">
            <w:pPr>
              <w:spacing w:after="0"/>
              <w:jc w:val="center"/>
              <w:rPr>
                <w:b/>
                <w:bCs/>
                <w:iCs/>
                <w:sz w:val="18"/>
                <w:szCs w:val="18"/>
              </w:rPr>
            </w:pPr>
            <w:r>
              <w:rPr>
                <w:b/>
                <w:bCs/>
                <w:iCs/>
                <w:sz w:val="18"/>
                <w:szCs w:val="18"/>
              </w:rPr>
              <w:t>6.10</w:t>
            </w:r>
          </w:p>
        </w:tc>
        <w:tc>
          <w:tcPr>
            <w:tcW w:w="2790" w:type="dxa"/>
            <w:vAlign w:val="center"/>
          </w:tcPr>
          <w:p w14:paraId="47DD9724" w14:textId="77777777" w:rsidR="00CE48A9" w:rsidRPr="006860DF" w:rsidRDefault="00CE48A9" w:rsidP="00CE48A9">
            <w:pPr>
              <w:spacing w:after="0" w:line="240" w:lineRule="auto"/>
              <w:jc w:val="center"/>
              <w:rPr>
                <w:b/>
                <w:bCs/>
                <w:iCs/>
                <w:sz w:val="18"/>
                <w:szCs w:val="18"/>
              </w:rPr>
            </w:pPr>
          </w:p>
        </w:tc>
      </w:tr>
      <w:tr w:rsidR="00CE48A9" w:rsidRPr="002B465F" w14:paraId="7488134D" w14:textId="77777777" w:rsidTr="0057108F">
        <w:trPr>
          <w:trHeight w:val="372"/>
        </w:trPr>
        <w:tc>
          <w:tcPr>
            <w:tcW w:w="5850" w:type="dxa"/>
            <w:shd w:val="clear" w:color="auto" w:fill="F2F2F2" w:themeFill="background1" w:themeFillShade="F2"/>
            <w:vAlign w:val="center"/>
          </w:tcPr>
          <w:p w14:paraId="54082337" w14:textId="0E122671" w:rsidR="00CE48A9" w:rsidRPr="006860DF" w:rsidRDefault="00CE48A9" w:rsidP="00CE48A9">
            <w:pPr>
              <w:tabs>
                <w:tab w:val="left" w:pos="338"/>
              </w:tabs>
              <w:spacing w:after="0"/>
              <w:rPr>
                <w:bCs/>
                <w:iCs/>
                <w:sz w:val="18"/>
                <w:szCs w:val="18"/>
              </w:rPr>
            </w:pPr>
            <w:r>
              <w:rPr>
                <w:sz w:val="18"/>
                <w:szCs w:val="18"/>
              </w:rPr>
              <w:t>Disease-</w:t>
            </w:r>
            <w:r w:rsidRPr="006860DF">
              <w:rPr>
                <w:sz w:val="18"/>
                <w:szCs w:val="18"/>
              </w:rPr>
              <w:t xml:space="preserve">specific national policies and guidelines </w:t>
            </w:r>
          </w:p>
        </w:tc>
        <w:tc>
          <w:tcPr>
            <w:tcW w:w="990" w:type="dxa"/>
            <w:vAlign w:val="center"/>
          </w:tcPr>
          <w:p w14:paraId="573BD9C2" w14:textId="23026DF7" w:rsidR="00CE48A9" w:rsidRPr="006860DF" w:rsidRDefault="00CE48A9" w:rsidP="00CE48A9">
            <w:pPr>
              <w:spacing w:after="0"/>
              <w:ind w:left="-20"/>
              <w:jc w:val="center"/>
              <w:rPr>
                <w:b/>
                <w:bCs/>
                <w:iCs/>
                <w:sz w:val="18"/>
                <w:szCs w:val="18"/>
              </w:rPr>
            </w:pPr>
            <w:sdt>
              <w:sdtPr>
                <w:rPr>
                  <w:b/>
                  <w:bCs/>
                  <w:iCs/>
                  <w:sz w:val="18"/>
                  <w:szCs w:val="18"/>
                </w:rPr>
                <w:id w:val="-153425393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2E1DCD15" w14:textId="7212F453" w:rsidR="00CE48A9" w:rsidRPr="006860DF" w:rsidRDefault="00CE48A9" w:rsidP="00CE48A9">
            <w:pPr>
              <w:spacing w:after="0"/>
              <w:jc w:val="center"/>
              <w:rPr>
                <w:b/>
                <w:bCs/>
                <w:iCs/>
                <w:sz w:val="18"/>
                <w:szCs w:val="18"/>
              </w:rPr>
            </w:pPr>
            <w:r>
              <w:rPr>
                <w:b/>
                <w:bCs/>
                <w:iCs/>
                <w:sz w:val="18"/>
                <w:szCs w:val="18"/>
              </w:rPr>
              <w:t>8</w:t>
            </w:r>
          </w:p>
        </w:tc>
        <w:tc>
          <w:tcPr>
            <w:tcW w:w="2790" w:type="dxa"/>
            <w:vAlign w:val="center"/>
          </w:tcPr>
          <w:p w14:paraId="48515DCB" w14:textId="77777777" w:rsidR="00CE48A9" w:rsidRPr="006860DF" w:rsidRDefault="00CE48A9" w:rsidP="00CE48A9">
            <w:pPr>
              <w:spacing w:after="0" w:line="240" w:lineRule="auto"/>
              <w:jc w:val="center"/>
              <w:rPr>
                <w:b/>
                <w:bCs/>
                <w:iCs/>
                <w:sz w:val="18"/>
                <w:szCs w:val="18"/>
              </w:rPr>
            </w:pPr>
          </w:p>
        </w:tc>
      </w:tr>
      <w:tr w:rsidR="00CE48A9" w:rsidRPr="002B465F" w14:paraId="7E72652D" w14:textId="77777777" w:rsidTr="0057108F">
        <w:trPr>
          <w:trHeight w:val="359"/>
        </w:trPr>
        <w:tc>
          <w:tcPr>
            <w:tcW w:w="5850" w:type="dxa"/>
            <w:shd w:val="clear" w:color="auto" w:fill="F2F2F2" w:themeFill="background1" w:themeFillShade="F2"/>
            <w:vAlign w:val="center"/>
          </w:tcPr>
          <w:p w14:paraId="23597A05" w14:textId="79644C1E" w:rsidR="00CE48A9" w:rsidRPr="006860DF" w:rsidRDefault="00CE48A9" w:rsidP="00CE48A9">
            <w:pPr>
              <w:tabs>
                <w:tab w:val="left" w:pos="338"/>
              </w:tabs>
              <w:spacing w:after="0"/>
              <w:rPr>
                <w:bCs/>
                <w:iCs/>
                <w:sz w:val="18"/>
                <w:szCs w:val="18"/>
              </w:rPr>
            </w:pPr>
            <w:r w:rsidRPr="006860DF">
              <w:rPr>
                <w:bCs/>
                <w:iCs/>
                <w:sz w:val="18"/>
                <w:szCs w:val="18"/>
              </w:rPr>
              <w:t>Summary budget, including costing methodology and assumptions</w:t>
            </w:r>
          </w:p>
        </w:tc>
        <w:tc>
          <w:tcPr>
            <w:tcW w:w="990" w:type="dxa"/>
            <w:vAlign w:val="center"/>
          </w:tcPr>
          <w:p w14:paraId="3AAACDD6" w14:textId="5E0E4B8A" w:rsidR="00CE48A9" w:rsidRPr="006860DF" w:rsidRDefault="00CE48A9" w:rsidP="00CE48A9">
            <w:pPr>
              <w:spacing w:after="0"/>
              <w:ind w:left="-20"/>
              <w:jc w:val="center"/>
              <w:rPr>
                <w:b/>
                <w:bCs/>
                <w:iCs/>
                <w:sz w:val="18"/>
                <w:szCs w:val="18"/>
              </w:rPr>
            </w:pPr>
            <w:sdt>
              <w:sdtPr>
                <w:rPr>
                  <w:b/>
                  <w:bCs/>
                  <w:iCs/>
                  <w:sz w:val="18"/>
                  <w:szCs w:val="18"/>
                </w:rPr>
                <w:id w:val="-385407365"/>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45A7512D" w14:textId="532EEDB3" w:rsidR="00CE48A9" w:rsidRPr="006860DF" w:rsidRDefault="00CE48A9" w:rsidP="00CE48A9">
            <w:pPr>
              <w:spacing w:after="0"/>
              <w:jc w:val="center"/>
              <w:rPr>
                <w:b/>
                <w:bCs/>
                <w:iCs/>
                <w:sz w:val="18"/>
                <w:szCs w:val="18"/>
              </w:rPr>
            </w:pPr>
            <w:r>
              <w:rPr>
                <w:b/>
                <w:bCs/>
                <w:iCs/>
                <w:sz w:val="18"/>
                <w:szCs w:val="18"/>
              </w:rPr>
              <w:t>9</w:t>
            </w:r>
          </w:p>
        </w:tc>
        <w:tc>
          <w:tcPr>
            <w:tcW w:w="2790" w:type="dxa"/>
            <w:vAlign w:val="center"/>
          </w:tcPr>
          <w:p w14:paraId="3EE1FB4C" w14:textId="77777777" w:rsidR="00CE48A9" w:rsidRPr="006860DF" w:rsidRDefault="00CE48A9" w:rsidP="00CE48A9">
            <w:pPr>
              <w:spacing w:after="0" w:line="240" w:lineRule="auto"/>
              <w:jc w:val="center"/>
              <w:rPr>
                <w:b/>
                <w:bCs/>
                <w:iCs/>
                <w:sz w:val="18"/>
                <w:szCs w:val="18"/>
              </w:rPr>
            </w:pPr>
          </w:p>
        </w:tc>
      </w:tr>
      <w:tr w:rsidR="00CE48A9" w:rsidRPr="002B465F" w14:paraId="72A5C5BF" w14:textId="77777777" w:rsidTr="0057108F">
        <w:trPr>
          <w:trHeight w:val="359"/>
        </w:trPr>
        <w:tc>
          <w:tcPr>
            <w:tcW w:w="5850" w:type="dxa"/>
            <w:shd w:val="clear" w:color="auto" w:fill="F2F2F2" w:themeFill="background1" w:themeFillShade="F2"/>
            <w:vAlign w:val="center"/>
          </w:tcPr>
          <w:p w14:paraId="05A075FF" w14:textId="177250BE" w:rsidR="00CE48A9" w:rsidRPr="006860DF" w:rsidRDefault="00CE48A9" w:rsidP="00CE48A9">
            <w:pPr>
              <w:tabs>
                <w:tab w:val="left" w:pos="338"/>
              </w:tabs>
              <w:spacing w:after="0"/>
              <w:rPr>
                <w:bCs/>
                <w:iCs/>
                <w:sz w:val="18"/>
                <w:szCs w:val="18"/>
              </w:rPr>
            </w:pPr>
            <w:r w:rsidRPr="006860DF">
              <w:rPr>
                <w:bCs/>
                <w:iCs/>
                <w:sz w:val="18"/>
                <w:szCs w:val="18"/>
              </w:rPr>
              <w:t>Program</w:t>
            </w:r>
            <w:r>
              <w:rPr>
                <w:bCs/>
                <w:iCs/>
                <w:sz w:val="18"/>
                <w:szCs w:val="18"/>
              </w:rPr>
              <w:t>’</w:t>
            </w:r>
            <w:r w:rsidRPr="006860DF">
              <w:rPr>
                <w:bCs/>
                <w:iCs/>
                <w:sz w:val="18"/>
                <w:szCs w:val="18"/>
              </w:rPr>
              <w:t xml:space="preserve">s prioritization approach </w:t>
            </w:r>
          </w:p>
        </w:tc>
        <w:tc>
          <w:tcPr>
            <w:tcW w:w="990" w:type="dxa"/>
            <w:vAlign w:val="center"/>
          </w:tcPr>
          <w:p w14:paraId="77DB7AD8" w14:textId="1974BE3C" w:rsidR="00CE48A9" w:rsidRPr="006860DF" w:rsidRDefault="00CE48A9" w:rsidP="00CE48A9">
            <w:pPr>
              <w:spacing w:after="0"/>
              <w:ind w:left="-20"/>
              <w:jc w:val="center"/>
              <w:rPr>
                <w:b/>
                <w:bCs/>
                <w:iCs/>
                <w:sz w:val="18"/>
                <w:szCs w:val="18"/>
              </w:rPr>
            </w:pPr>
            <w:sdt>
              <w:sdtPr>
                <w:rPr>
                  <w:b/>
                  <w:bCs/>
                  <w:iCs/>
                  <w:sz w:val="18"/>
                  <w:szCs w:val="18"/>
                </w:rPr>
                <w:id w:val="1848138016"/>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3A04AE0D" w14:textId="27A81C84" w:rsidR="00CE48A9" w:rsidRPr="006860DF" w:rsidRDefault="00CE48A9" w:rsidP="00CE48A9">
            <w:pPr>
              <w:spacing w:after="0"/>
              <w:jc w:val="center"/>
              <w:rPr>
                <w:b/>
                <w:bCs/>
                <w:iCs/>
                <w:sz w:val="18"/>
                <w:szCs w:val="18"/>
              </w:rPr>
            </w:pPr>
            <w:r>
              <w:rPr>
                <w:b/>
                <w:bCs/>
                <w:iCs/>
                <w:sz w:val="18"/>
                <w:szCs w:val="18"/>
              </w:rPr>
              <w:t>6</w:t>
            </w:r>
          </w:p>
        </w:tc>
        <w:tc>
          <w:tcPr>
            <w:tcW w:w="2790" w:type="dxa"/>
            <w:vAlign w:val="center"/>
          </w:tcPr>
          <w:p w14:paraId="6095ECAE" w14:textId="77777777" w:rsidR="00CE48A9" w:rsidRPr="006860DF" w:rsidRDefault="00CE48A9" w:rsidP="00CE48A9">
            <w:pPr>
              <w:spacing w:after="0" w:line="240" w:lineRule="auto"/>
              <w:jc w:val="center"/>
              <w:rPr>
                <w:b/>
                <w:bCs/>
                <w:iCs/>
                <w:sz w:val="18"/>
                <w:szCs w:val="18"/>
              </w:rPr>
            </w:pPr>
          </w:p>
        </w:tc>
      </w:tr>
      <w:tr w:rsidR="00CE48A9" w:rsidRPr="002B465F" w14:paraId="30FF6B69" w14:textId="77777777" w:rsidTr="0057108F">
        <w:trPr>
          <w:trHeight w:val="386"/>
        </w:trPr>
        <w:tc>
          <w:tcPr>
            <w:tcW w:w="5850" w:type="dxa"/>
            <w:shd w:val="clear" w:color="auto" w:fill="F2F2F2" w:themeFill="background1" w:themeFillShade="F2"/>
            <w:vAlign w:val="center"/>
          </w:tcPr>
          <w:p w14:paraId="5CA017DC" w14:textId="2C82D436" w:rsidR="00CE48A9" w:rsidRPr="006860DF" w:rsidRDefault="00CE48A9" w:rsidP="00CE48A9">
            <w:pPr>
              <w:tabs>
                <w:tab w:val="left" w:pos="338"/>
              </w:tabs>
              <w:spacing w:after="0"/>
              <w:rPr>
                <w:sz w:val="18"/>
                <w:szCs w:val="18"/>
              </w:rPr>
            </w:pPr>
            <w:r w:rsidRPr="006860DF">
              <w:rPr>
                <w:rFonts w:cs="Arial"/>
                <w:sz w:val="18"/>
                <w:szCs w:val="18"/>
              </w:rPr>
              <w:t>Monitoring &amp; evaluation plan</w:t>
            </w:r>
          </w:p>
        </w:tc>
        <w:tc>
          <w:tcPr>
            <w:tcW w:w="990" w:type="dxa"/>
            <w:vAlign w:val="center"/>
          </w:tcPr>
          <w:p w14:paraId="04C04D49" w14:textId="3A725F46" w:rsidR="00CE48A9" w:rsidRPr="006860DF" w:rsidRDefault="00CE48A9" w:rsidP="00CE48A9">
            <w:pPr>
              <w:spacing w:after="0"/>
              <w:ind w:left="-20"/>
              <w:jc w:val="center"/>
              <w:rPr>
                <w:b/>
                <w:bCs/>
                <w:iCs/>
                <w:sz w:val="18"/>
                <w:szCs w:val="18"/>
              </w:rPr>
            </w:pPr>
            <w:sdt>
              <w:sdtPr>
                <w:rPr>
                  <w:b/>
                  <w:bCs/>
                  <w:iCs/>
                  <w:sz w:val="18"/>
                  <w:szCs w:val="18"/>
                </w:rPr>
                <w:id w:val="939496446"/>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60618E62" w14:textId="6E513C0D" w:rsidR="00CE48A9" w:rsidRPr="006860DF" w:rsidRDefault="00CE48A9" w:rsidP="00CE48A9">
            <w:pPr>
              <w:spacing w:after="0"/>
              <w:jc w:val="center"/>
              <w:rPr>
                <w:b/>
                <w:bCs/>
                <w:iCs/>
                <w:sz w:val="18"/>
                <w:szCs w:val="18"/>
              </w:rPr>
            </w:pPr>
            <w:r>
              <w:rPr>
                <w:b/>
                <w:bCs/>
                <w:iCs/>
                <w:sz w:val="18"/>
                <w:szCs w:val="18"/>
              </w:rPr>
              <w:t>8.5.1&amp; 8.5.2</w:t>
            </w:r>
          </w:p>
        </w:tc>
        <w:tc>
          <w:tcPr>
            <w:tcW w:w="2790" w:type="dxa"/>
            <w:vAlign w:val="center"/>
          </w:tcPr>
          <w:p w14:paraId="19A02D88" w14:textId="77777777" w:rsidR="00CE48A9" w:rsidRPr="006860DF" w:rsidRDefault="00CE48A9" w:rsidP="00CE48A9">
            <w:pPr>
              <w:spacing w:after="0" w:line="240" w:lineRule="auto"/>
              <w:jc w:val="center"/>
              <w:rPr>
                <w:b/>
                <w:bCs/>
                <w:iCs/>
                <w:sz w:val="18"/>
                <w:szCs w:val="18"/>
              </w:rPr>
            </w:pPr>
          </w:p>
        </w:tc>
      </w:tr>
      <w:tr w:rsidR="00CE48A9" w:rsidRPr="002B465F" w14:paraId="0AF40752" w14:textId="77777777" w:rsidTr="0057108F">
        <w:trPr>
          <w:trHeight w:val="368"/>
        </w:trPr>
        <w:tc>
          <w:tcPr>
            <w:tcW w:w="5850" w:type="dxa"/>
            <w:shd w:val="clear" w:color="auto" w:fill="F2F2F2" w:themeFill="background1" w:themeFillShade="F2"/>
            <w:vAlign w:val="center"/>
          </w:tcPr>
          <w:p w14:paraId="51C86D0A" w14:textId="6F3508A0" w:rsidR="00CE48A9" w:rsidRPr="006860DF" w:rsidRDefault="00CE48A9" w:rsidP="00CE48A9">
            <w:pPr>
              <w:tabs>
                <w:tab w:val="left" w:pos="338"/>
              </w:tabs>
              <w:spacing w:after="0"/>
              <w:rPr>
                <w:bCs/>
                <w:iCs/>
                <w:sz w:val="18"/>
                <w:szCs w:val="18"/>
              </w:rPr>
            </w:pPr>
            <w:r w:rsidRPr="006860DF">
              <w:rPr>
                <w:sz w:val="18"/>
                <w:szCs w:val="18"/>
              </w:rPr>
              <w:t>Operational plans</w:t>
            </w:r>
          </w:p>
        </w:tc>
        <w:tc>
          <w:tcPr>
            <w:tcW w:w="990" w:type="dxa"/>
            <w:vAlign w:val="center"/>
          </w:tcPr>
          <w:p w14:paraId="110C06EE" w14:textId="5C71DFD3" w:rsidR="00CE48A9" w:rsidRPr="006860DF" w:rsidRDefault="00CE48A9" w:rsidP="00CE48A9">
            <w:pPr>
              <w:spacing w:after="0"/>
              <w:ind w:left="-20"/>
              <w:jc w:val="center"/>
              <w:rPr>
                <w:b/>
                <w:bCs/>
                <w:iCs/>
                <w:sz w:val="18"/>
                <w:szCs w:val="18"/>
              </w:rPr>
            </w:pPr>
            <w:sdt>
              <w:sdtPr>
                <w:rPr>
                  <w:b/>
                  <w:bCs/>
                  <w:iCs/>
                  <w:sz w:val="18"/>
                  <w:szCs w:val="18"/>
                </w:rPr>
                <w:id w:val="-350407281"/>
                <w14:checkbox>
                  <w14:checked w14:val="1"/>
                  <w14:checkedState w14:val="2612" w14:font="MS Gothic"/>
                  <w14:uncheckedState w14:val="2610" w14:font="MS Gothic"/>
                </w14:checkbox>
              </w:sdtPr>
              <w:sdtContent>
                <w:r>
                  <w:rPr>
                    <w:rFonts w:ascii="MS Gothic" w:eastAsia="MS Gothic" w:hAnsi="MS Gothic" w:hint="eastAsia"/>
                    <w:b/>
                    <w:bCs/>
                    <w:iCs/>
                    <w:sz w:val="18"/>
                    <w:szCs w:val="18"/>
                  </w:rPr>
                  <w:t>☒</w:t>
                </w:r>
              </w:sdtContent>
            </w:sdt>
          </w:p>
        </w:tc>
        <w:tc>
          <w:tcPr>
            <w:tcW w:w="1440" w:type="dxa"/>
            <w:vAlign w:val="center"/>
          </w:tcPr>
          <w:p w14:paraId="15729A53" w14:textId="7E4E8D81" w:rsidR="00CE48A9" w:rsidRPr="006860DF" w:rsidRDefault="00CE48A9" w:rsidP="00CE48A9">
            <w:pPr>
              <w:spacing w:after="0"/>
              <w:jc w:val="center"/>
              <w:rPr>
                <w:b/>
                <w:bCs/>
                <w:iCs/>
                <w:sz w:val="18"/>
                <w:szCs w:val="18"/>
              </w:rPr>
            </w:pPr>
            <w:r>
              <w:rPr>
                <w:b/>
                <w:bCs/>
                <w:iCs/>
                <w:sz w:val="18"/>
                <w:szCs w:val="18"/>
              </w:rPr>
              <w:t>10</w:t>
            </w:r>
          </w:p>
        </w:tc>
        <w:tc>
          <w:tcPr>
            <w:tcW w:w="2790" w:type="dxa"/>
            <w:vAlign w:val="center"/>
          </w:tcPr>
          <w:p w14:paraId="68972F07" w14:textId="77777777" w:rsidR="00CE48A9" w:rsidRPr="006860DF" w:rsidRDefault="00CE48A9" w:rsidP="00CE48A9">
            <w:pPr>
              <w:spacing w:after="0" w:line="240" w:lineRule="auto"/>
              <w:jc w:val="center"/>
              <w:rPr>
                <w:b/>
                <w:bCs/>
                <w:iCs/>
                <w:sz w:val="18"/>
                <w:szCs w:val="18"/>
              </w:rPr>
            </w:pPr>
          </w:p>
        </w:tc>
      </w:tr>
      <w:tr w:rsidR="00CE48A9" w:rsidRPr="002B465F" w14:paraId="6B73DEEB" w14:textId="77777777" w:rsidTr="0057108F">
        <w:trPr>
          <w:trHeight w:val="206"/>
        </w:trPr>
        <w:tc>
          <w:tcPr>
            <w:tcW w:w="5850" w:type="dxa"/>
            <w:shd w:val="clear" w:color="auto" w:fill="F2F2F2" w:themeFill="background1" w:themeFillShade="F2"/>
            <w:vAlign w:val="center"/>
          </w:tcPr>
          <w:p w14:paraId="39CE0466" w14:textId="6D5B09A2" w:rsidR="00CE48A9" w:rsidRPr="006860DF" w:rsidRDefault="00CE48A9" w:rsidP="00CE48A9">
            <w:pPr>
              <w:tabs>
                <w:tab w:val="left" w:pos="338"/>
              </w:tabs>
              <w:spacing w:after="0"/>
              <w:rPr>
                <w:sz w:val="18"/>
                <w:szCs w:val="18"/>
              </w:rPr>
            </w:pPr>
            <w:r w:rsidRPr="006860DF">
              <w:rPr>
                <w:sz w:val="18"/>
                <w:szCs w:val="18"/>
              </w:rPr>
              <w:t>Other</w:t>
            </w:r>
          </w:p>
        </w:tc>
        <w:tc>
          <w:tcPr>
            <w:tcW w:w="990" w:type="dxa"/>
            <w:vAlign w:val="center"/>
          </w:tcPr>
          <w:p w14:paraId="2F8B8284" w14:textId="64EA68EC" w:rsidR="00CE48A9" w:rsidRPr="006860DF" w:rsidRDefault="00CE48A9" w:rsidP="00CE48A9">
            <w:pPr>
              <w:spacing w:after="0"/>
              <w:ind w:left="-20"/>
              <w:jc w:val="center"/>
              <w:rPr>
                <w:b/>
                <w:bCs/>
                <w:iCs/>
                <w:sz w:val="18"/>
                <w:szCs w:val="18"/>
              </w:rPr>
            </w:pPr>
            <w:sdt>
              <w:sdtPr>
                <w:rPr>
                  <w:b/>
                  <w:bCs/>
                  <w:iCs/>
                  <w:sz w:val="18"/>
                  <w:szCs w:val="18"/>
                </w:rPr>
                <w:id w:val="-396814811"/>
                <w14:checkbox>
                  <w14:checked w14:val="0"/>
                  <w14:checkedState w14:val="2612" w14:font="MS Gothic"/>
                  <w14:uncheckedState w14:val="2610" w14:font="MS Gothic"/>
                </w14:checkbox>
              </w:sdtPr>
              <w:sdtContent>
                <w:r w:rsidRPr="006860DF">
                  <w:rPr>
                    <w:rFonts w:ascii="Segoe UI Symbol" w:hAnsi="Segoe UI Symbol" w:cs="Segoe UI Symbol"/>
                    <w:b/>
                    <w:bCs/>
                    <w:iCs/>
                    <w:sz w:val="18"/>
                    <w:szCs w:val="18"/>
                  </w:rPr>
                  <w:t>☐</w:t>
                </w:r>
              </w:sdtContent>
            </w:sdt>
          </w:p>
        </w:tc>
        <w:tc>
          <w:tcPr>
            <w:tcW w:w="1440" w:type="dxa"/>
            <w:vAlign w:val="center"/>
          </w:tcPr>
          <w:p w14:paraId="161AC40B" w14:textId="77777777" w:rsidR="00CE48A9" w:rsidRPr="006860DF" w:rsidRDefault="00CE48A9" w:rsidP="00CE48A9">
            <w:pPr>
              <w:spacing w:after="0"/>
              <w:jc w:val="center"/>
              <w:rPr>
                <w:b/>
                <w:bCs/>
                <w:iCs/>
                <w:sz w:val="18"/>
                <w:szCs w:val="18"/>
              </w:rPr>
            </w:pPr>
          </w:p>
        </w:tc>
        <w:tc>
          <w:tcPr>
            <w:tcW w:w="2790" w:type="dxa"/>
            <w:vAlign w:val="center"/>
          </w:tcPr>
          <w:p w14:paraId="1BDF956B" w14:textId="77777777" w:rsidR="00CE48A9" w:rsidRPr="006860DF" w:rsidRDefault="00CE48A9" w:rsidP="00CE48A9">
            <w:pPr>
              <w:spacing w:after="0" w:line="240" w:lineRule="auto"/>
              <w:jc w:val="center"/>
              <w:rPr>
                <w:b/>
                <w:bCs/>
                <w:iCs/>
                <w:sz w:val="18"/>
                <w:szCs w:val="18"/>
              </w:rPr>
            </w:pPr>
          </w:p>
        </w:tc>
      </w:tr>
    </w:tbl>
    <w:p w14:paraId="4EC99E38" w14:textId="77777777" w:rsidR="00CC3B8C" w:rsidRDefault="00CC3B8C" w:rsidP="0057108F">
      <w:pPr>
        <w:pStyle w:val="ListParagraph"/>
        <w:spacing w:after="0"/>
        <w:ind w:left="360"/>
        <w:contextualSpacing w:val="0"/>
        <w:rPr>
          <w:rFonts w:cs="Arial"/>
          <w:bCs/>
        </w:rPr>
      </w:pPr>
    </w:p>
    <w:p w14:paraId="27C7A47C" w14:textId="3095EC07" w:rsidR="00CC3B8C" w:rsidRPr="00A65BE2" w:rsidRDefault="000B1725" w:rsidP="0057108F">
      <w:pPr>
        <w:pStyle w:val="Heading2"/>
        <w:spacing w:after="0"/>
      </w:pPr>
      <w:bookmarkStart w:id="7" w:name="_Hlk13150686"/>
      <w:r>
        <w:t>C</w:t>
      </w:r>
      <w:r w:rsidR="00433594">
        <w:t xml:space="preserve">ontextual </w:t>
      </w:r>
      <w:r w:rsidR="00677F0E">
        <w:t xml:space="preserve">Information not Included in NSPs </w:t>
      </w:r>
    </w:p>
    <w:bookmarkEnd w:id="7"/>
    <w:p w14:paraId="19FA352E" w14:textId="77777777" w:rsidR="00BE3BEF" w:rsidRDefault="00BE3BEF" w:rsidP="0057108F">
      <w:pPr>
        <w:spacing w:after="0"/>
        <w:rPr>
          <w:rFonts w:cs="Arial"/>
          <w:bCs/>
        </w:rPr>
      </w:pPr>
    </w:p>
    <w:p w14:paraId="30FDF03B" w14:textId="2ED6D4B1" w:rsidR="00257A14" w:rsidRDefault="00433594" w:rsidP="0057108F">
      <w:pPr>
        <w:spacing w:after="0"/>
        <w:rPr>
          <w:rFonts w:cs="Arial"/>
          <w:bCs/>
        </w:rPr>
      </w:pPr>
      <w:r>
        <w:rPr>
          <w:rFonts w:cs="Arial"/>
          <w:bCs/>
        </w:rPr>
        <w:t>For the</w:t>
      </w:r>
      <w:r w:rsidR="003410E1">
        <w:rPr>
          <w:rFonts w:cs="Arial"/>
          <w:bCs/>
        </w:rPr>
        <w:t xml:space="preserve"> gaps in question 1.1, provide information below. </w:t>
      </w:r>
    </w:p>
    <w:p w14:paraId="02AA5FDF" w14:textId="77777777" w:rsidR="00BE3BEF" w:rsidRDefault="00BE3BEF" w:rsidP="0057108F">
      <w:pPr>
        <w:spacing w:after="0"/>
        <w:rPr>
          <w:rFonts w:cs="Arial"/>
          <w:bCs/>
        </w:rPr>
      </w:pPr>
    </w:p>
    <w:tbl>
      <w:tblPr>
        <w:tblStyle w:val="TableGrid"/>
        <w:tblW w:w="0" w:type="auto"/>
        <w:tblLook w:val="04A0" w:firstRow="1" w:lastRow="0" w:firstColumn="1" w:lastColumn="0" w:noHBand="0" w:noVBand="1"/>
      </w:tblPr>
      <w:tblGrid>
        <w:gridCol w:w="10456"/>
      </w:tblGrid>
      <w:tr w:rsidR="00345C30" w14:paraId="764C8424" w14:textId="77777777" w:rsidTr="006C5CD7">
        <w:tc>
          <w:tcPr>
            <w:tcW w:w="10790" w:type="dxa"/>
          </w:tcPr>
          <w:p w14:paraId="18F5D057" w14:textId="77777777" w:rsidR="00345C30" w:rsidRDefault="00345C30" w:rsidP="0057108F">
            <w:pPr>
              <w:rPr>
                <w:rFonts w:cs="Arial"/>
              </w:rPr>
            </w:pPr>
            <w:r>
              <w:rPr>
                <w:rFonts w:cs="Arial"/>
              </w:rPr>
              <w:t>[Applicant response]</w:t>
            </w:r>
          </w:p>
          <w:p w14:paraId="0D439F8C" w14:textId="77777777" w:rsidR="00345C30" w:rsidRDefault="00345C30" w:rsidP="0057108F">
            <w:pPr>
              <w:rPr>
                <w:rFonts w:cs="Arial"/>
              </w:rPr>
            </w:pPr>
          </w:p>
        </w:tc>
      </w:tr>
    </w:tbl>
    <w:p w14:paraId="37B903FD" w14:textId="77777777" w:rsidR="00412A61" w:rsidRDefault="00412A61" w:rsidP="0057108F">
      <w:pPr>
        <w:pStyle w:val="NormalNoSpace"/>
      </w:pPr>
    </w:p>
    <w:p w14:paraId="19D8CB7E" w14:textId="77777777" w:rsidR="00412A61" w:rsidRDefault="00412A61" w:rsidP="0057108F">
      <w:pPr>
        <w:spacing w:after="0"/>
        <w:rPr>
          <w:rFonts w:eastAsiaTheme="majorEastAsia" w:cs="Arial"/>
          <w:b/>
          <w:sz w:val="30"/>
          <w:szCs w:val="30"/>
        </w:rPr>
      </w:pPr>
      <w:r>
        <w:rPr>
          <w:rFonts w:cs="Arial"/>
          <w:b/>
          <w:sz w:val="30"/>
          <w:szCs w:val="30"/>
        </w:rPr>
        <w:br w:type="page"/>
      </w:r>
    </w:p>
    <w:p w14:paraId="0BEE2520" w14:textId="4FDAD98D" w:rsidR="00CC3B8C" w:rsidRPr="0057108F" w:rsidRDefault="00353B5B" w:rsidP="0057108F">
      <w:pPr>
        <w:pStyle w:val="Heading1"/>
      </w:pPr>
      <w:r w:rsidRPr="0057108F">
        <w:lastRenderedPageBreak/>
        <w:t xml:space="preserve">Section 2: </w:t>
      </w:r>
      <w:r w:rsidR="00CC3B8C" w:rsidRPr="0057108F">
        <w:t>Funding Request and Prioritization</w:t>
      </w:r>
    </w:p>
    <w:p w14:paraId="348D852F" w14:textId="77777777" w:rsidR="0057108F" w:rsidRDefault="0057108F" w:rsidP="0057108F">
      <w:pPr>
        <w:spacing w:after="0"/>
        <w:rPr>
          <w:rStyle w:val="normaltextrun"/>
          <w:rFonts w:cs="Arial"/>
          <w:color w:val="000000"/>
          <w:shd w:val="clear" w:color="auto" w:fill="FFFFFF"/>
        </w:rPr>
      </w:pPr>
    </w:p>
    <w:p w14:paraId="7D94A96E" w14:textId="36C6CB48" w:rsidR="00345C30" w:rsidRDefault="003410E1" w:rsidP="0057108F">
      <w:pPr>
        <w:spacing w:after="0"/>
        <w:rPr>
          <w:rFonts w:cs="Arial"/>
          <w:bCs/>
          <w:iCs/>
        </w:rPr>
      </w:pPr>
      <w:r>
        <w:rPr>
          <w:rStyle w:val="normaltextrun"/>
          <w:rFonts w:cs="Arial"/>
          <w:color w:val="000000"/>
          <w:shd w:val="clear" w:color="auto" w:fill="FFFFFF"/>
        </w:rPr>
        <w:t>To respond to the questions below, refer to the </w:t>
      </w:r>
      <w:r>
        <w:rPr>
          <w:rStyle w:val="contextualspellingandgrammarerror"/>
          <w:rFonts w:cs="Arial"/>
          <w:i/>
          <w:iCs/>
          <w:color w:val="000000"/>
          <w:shd w:val="clear" w:color="auto" w:fill="FFFFFF"/>
        </w:rPr>
        <w:t>Instructions</w:t>
      </w:r>
      <w:r w:rsidR="000663BB">
        <w:rPr>
          <w:rStyle w:val="contextualspellingandgrammarerror"/>
          <w:rFonts w:cs="Arial"/>
          <w:i/>
          <w:iCs/>
          <w:color w:val="000000"/>
          <w:shd w:val="clear" w:color="auto" w:fill="FFFFFF"/>
        </w:rPr>
        <w:t>,</w:t>
      </w:r>
      <w:r w:rsidR="006860DF">
        <w:rPr>
          <w:rStyle w:val="contextualspellingandgrammarerror"/>
          <w:rFonts w:cs="Arial"/>
          <w:i/>
          <w:iCs/>
          <w:color w:val="000000"/>
          <w:shd w:val="clear" w:color="auto" w:fill="FFFFFF"/>
        </w:rPr>
        <w:t> </w:t>
      </w:r>
      <w:r w:rsidRPr="00170A77">
        <w:rPr>
          <w:rStyle w:val="normaltextrun"/>
          <w:rFonts w:cs="Arial"/>
          <w:b/>
          <w:color w:val="000000"/>
          <w:shd w:val="clear" w:color="auto" w:fill="FFFFFF"/>
        </w:rPr>
        <w:t>NSPs,</w:t>
      </w:r>
      <w:r>
        <w:rPr>
          <w:rStyle w:val="normaltextrun"/>
          <w:rFonts w:cs="Arial"/>
          <w:color w:val="000000"/>
          <w:shd w:val="clear" w:color="auto" w:fill="FFFFFF"/>
        </w:rPr>
        <w:t> </w:t>
      </w:r>
      <w:r>
        <w:rPr>
          <w:rStyle w:val="normaltextrun"/>
          <w:rFonts w:cs="Arial"/>
          <w:b/>
          <w:bCs/>
          <w:color w:val="000000"/>
          <w:shd w:val="clear" w:color="auto" w:fill="FFFFFF"/>
        </w:rPr>
        <w:t>Programmatic Gap Table(s), Funding Landscape Table(s), Performance Framework, Budget and Essential Data Table(s)</w:t>
      </w:r>
      <w:r>
        <w:rPr>
          <w:rStyle w:val="normaltextrun"/>
          <w:rFonts w:cs="Arial"/>
          <w:color w:val="000000"/>
          <w:shd w:val="clear" w:color="auto" w:fill="FFFFFF"/>
        </w:rPr>
        <w:t>. </w:t>
      </w:r>
      <w:r w:rsidR="004D60F9">
        <w:rPr>
          <w:rFonts w:cs="Arial"/>
          <w:bCs/>
          <w:iCs/>
        </w:rPr>
        <w:t>Include</w:t>
      </w:r>
      <w:r w:rsidR="004D60F9" w:rsidRPr="00CC3B8C">
        <w:rPr>
          <w:rFonts w:cs="Arial"/>
          <w:bCs/>
          <w:iCs/>
        </w:rPr>
        <w:t xml:space="preserve"> </w:t>
      </w:r>
      <w:r w:rsidR="00345C30" w:rsidRPr="00CC3B8C">
        <w:rPr>
          <w:rFonts w:cs="Arial"/>
          <w:bCs/>
          <w:iCs/>
        </w:rPr>
        <w:t>narrative only if th</w:t>
      </w:r>
      <w:r w:rsidR="004D60F9">
        <w:rPr>
          <w:rFonts w:cs="Arial"/>
          <w:bCs/>
          <w:iCs/>
        </w:rPr>
        <w:t>es</w:t>
      </w:r>
      <w:r w:rsidR="00345C30" w:rsidRPr="00CC3B8C">
        <w:rPr>
          <w:rFonts w:cs="Arial"/>
          <w:bCs/>
          <w:iCs/>
        </w:rPr>
        <w:t>e documents</w:t>
      </w:r>
      <w:r w:rsidR="004D60F9">
        <w:rPr>
          <w:rFonts w:cs="Arial"/>
          <w:bCs/>
          <w:iCs/>
        </w:rPr>
        <w:t xml:space="preserve"> omit required information</w:t>
      </w:r>
      <w:r w:rsidR="00345C30" w:rsidRPr="00CC3B8C">
        <w:rPr>
          <w:rFonts w:cs="Arial"/>
          <w:bCs/>
          <w:iCs/>
        </w:rPr>
        <w:t>.</w:t>
      </w:r>
    </w:p>
    <w:p w14:paraId="4B34EDE7" w14:textId="77777777" w:rsidR="00345C30" w:rsidRDefault="00345C30" w:rsidP="0057108F">
      <w:pPr>
        <w:spacing w:after="0"/>
        <w:rPr>
          <w:rFonts w:cs="Arial"/>
          <w:bCs/>
          <w:iCs/>
        </w:rPr>
      </w:pPr>
    </w:p>
    <w:p w14:paraId="48978405" w14:textId="64394992" w:rsidR="00CC3B8C" w:rsidRDefault="00BA2893" w:rsidP="00141FFC">
      <w:pPr>
        <w:pStyle w:val="Heading2"/>
        <w:numPr>
          <w:ilvl w:val="1"/>
          <w:numId w:val="7"/>
        </w:numPr>
        <w:spacing w:after="0"/>
      </w:pPr>
      <w:bookmarkStart w:id="8" w:name="_Hlk9768488"/>
      <w:r>
        <w:t>O</w:t>
      </w:r>
      <w:r w:rsidR="006E3F70">
        <w:t>verview</w:t>
      </w:r>
      <w:r>
        <w:t xml:space="preserve"> of</w:t>
      </w:r>
      <w:r w:rsidR="00DB64E7">
        <w:t xml:space="preserve"> NSP</w:t>
      </w:r>
      <w:r>
        <w:t xml:space="preserve"> </w:t>
      </w:r>
      <w:r w:rsidR="00677F0E">
        <w:t>Strategic Areas</w:t>
      </w:r>
    </w:p>
    <w:bookmarkEnd w:id="8"/>
    <w:p w14:paraId="4B99314C" w14:textId="77777777" w:rsidR="0057108F" w:rsidRDefault="0057108F" w:rsidP="0057108F">
      <w:pPr>
        <w:spacing w:after="0"/>
        <w:rPr>
          <w:rFonts w:cs="Arial"/>
          <w:bCs/>
          <w:iCs/>
        </w:rPr>
      </w:pPr>
    </w:p>
    <w:p w14:paraId="77B08A21" w14:textId="4A196735" w:rsidR="003B5D8D" w:rsidRDefault="00543B93" w:rsidP="0057108F">
      <w:pPr>
        <w:spacing w:after="0"/>
        <w:rPr>
          <w:rFonts w:cs="Arial"/>
          <w:bCs/>
          <w:iCs/>
        </w:rPr>
      </w:pPr>
      <w:r>
        <w:rPr>
          <w:rFonts w:cs="Arial"/>
          <w:bCs/>
          <w:iCs/>
        </w:rPr>
        <w:t>Complete</w:t>
      </w:r>
      <w:r w:rsidR="004D60F9">
        <w:rPr>
          <w:rFonts w:cs="Arial"/>
          <w:bCs/>
          <w:iCs/>
        </w:rPr>
        <w:t xml:space="preserve"> </w:t>
      </w:r>
      <w:r w:rsidR="0039559D">
        <w:rPr>
          <w:rFonts w:cs="Arial"/>
          <w:bCs/>
          <w:iCs/>
        </w:rPr>
        <w:t>the table below, referring to</w:t>
      </w:r>
      <w:r w:rsidR="003B5D8D" w:rsidRPr="003B5D8D">
        <w:rPr>
          <w:rFonts w:cs="Arial"/>
          <w:bCs/>
          <w:iCs/>
        </w:rPr>
        <w:t xml:space="preserve"> the relevant</w:t>
      </w:r>
      <w:r w:rsidR="004D60F9">
        <w:rPr>
          <w:rFonts w:cs="Arial"/>
          <w:bCs/>
          <w:iCs/>
        </w:rPr>
        <w:t xml:space="preserve"> </w:t>
      </w:r>
      <w:r w:rsidR="006C5CD7">
        <w:rPr>
          <w:rFonts w:cs="Arial"/>
          <w:bCs/>
          <w:iCs/>
        </w:rPr>
        <w:t xml:space="preserve">NSP </w:t>
      </w:r>
      <w:r w:rsidR="003B5D8D" w:rsidRPr="003B5D8D">
        <w:rPr>
          <w:rFonts w:cs="Arial"/>
          <w:bCs/>
          <w:iCs/>
        </w:rPr>
        <w:t>page</w:t>
      </w:r>
      <w:r w:rsidR="006C5CD7">
        <w:rPr>
          <w:rFonts w:cs="Arial"/>
          <w:bCs/>
          <w:iCs/>
        </w:rPr>
        <w:t xml:space="preserve"> number</w:t>
      </w:r>
      <w:r w:rsidR="00247241">
        <w:rPr>
          <w:rFonts w:cs="Arial"/>
          <w:bCs/>
          <w:iCs/>
        </w:rPr>
        <w:t>s</w:t>
      </w:r>
      <w:r w:rsidR="000663BB">
        <w:rPr>
          <w:rFonts w:cs="Arial"/>
          <w:bCs/>
          <w:iCs/>
        </w:rPr>
        <w:t>,</w:t>
      </w:r>
      <w:r w:rsidR="00247241">
        <w:rPr>
          <w:rFonts w:cs="Arial"/>
          <w:bCs/>
          <w:iCs/>
        </w:rPr>
        <w:t xml:space="preserve"> whenever possible</w:t>
      </w:r>
      <w:r w:rsidR="000663BB">
        <w:rPr>
          <w:rFonts w:cs="Arial"/>
          <w:bCs/>
          <w:iCs/>
        </w:rPr>
        <w:t>. E</w:t>
      </w:r>
      <w:r w:rsidR="00F9161A">
        <w:rPr>
          <w:rFonts w:cs="Arial"/>
          <w:bCs/>
          <w:iCs/>
        </w:rPr>
        <w:t>nsur</w:t>
      </w:r>
      <w:r w:rsidR="000663BB">
        <w:rPr>
          <w:rFonts w:cs="Arial"/>
          <w:bCs/>
          <w:iCs/>
        </w:rPr>
        <w:t>e information is</w:t>
      </w:r>
      <w:r w:rsidR="00482AF1">
        <w:rPr>
          <w:rFonts w:cs="Arial"/>
          <w:bCs/>
          <w:iCs/>
        </w:rPr>
        <w:t xml:space="preserve"> consisten</w:t>
      </w:r>
      <w:r w:rsidR="000663BB">
        <w:rPr>
          <w:rFonts w:cs="Arial"/>
          <w:bCs/>
          <w:iCs/>
        </w:rPr>
        <w:t>t with</w:t>
      </w:r>
      <w:r w:rsidR="00482AF1">
        <w:rPr>
          <w:rFonts w:cs="Arial"/>
          <w:bCs/>
          <w:iCs/>
        </w:rPr>
        <w:t xml:space="preserve"> </w:t>
      </w:r>
      <w:r w:rsidR="00433594">
        <w:rPr>
          <w:rFonts w:cs="Arial"/>
          <w:bCs/>
          <w:iCs/>
        </w:rPr>
        <w:t>NSP</w:t>
      </w:r>
      <w:r w:rsidR="003F7DEE">
        <w:rPr>
          <w:rFonts w:cs="Arial"/>
          <w:bCs/>
          <w:iCs/>
        </w:rPr>
        <w:t xml:space="preserve"> cost detai</w:t>
      </w:r>
      <w:r w:rsidR="00291580">
        <w:rPr>
          <w:rFonts w:cs="Arial"/>
          <w:bCs/>
          <w:iCs/>
        </w:rPr>
        <w:t>l</w:t>
      </w:r>
      <w:r w:rsidR="003F7DEE">
        <w:rPr>
          <w:rFonts w:cs="Arial"/>
          <w:bCs/>
          <w:iCs/>
        </w:rPr>
        <w:t xml:space="preserve">s and </w:t>
      </w:r>
      <w:r w:rsidR="00E63B00">
        <w:rPr>
          <w:rFonts w:cs="Arial"/>
          <w:bCs/>
          <w:iCs/>
        </w:rPr>
        <w:t>analysis</w:t>
      </w:r>
      <w:r w:rsidR="00482AF1">
        <w:rPr>
          <w:rFonts w:cs="Arial"/>
          <w:bCs/>
          <w:iCs/>
        </w:rPr>
        <w:t xml:space="preserve"> provided in </w:t>
      </w:r>
      <w:r w:rsidR="00DB64E7">
        <w:rPr>
          <w:rFonts w:cs="Arial"/>
          <w:b/>
          <w:bCs/>
          <w:iCs/>
        </w:rPr>
        <w:t>Funding Landscape T</w:t>
      </w:r>
      <w:r w:rsidR="00482AF1" w:rsidRPr="00291580">
        <w:rPr>
          <w:rFonts w:cs="Arial"/>
          <w:b/>
          <w:bCs/>
          <w:iCs/>
        </w:rPr>
        <w:t>able(s)</w:t>
      </w:r>
      <w:r w:rsidR="003B5D8D" w:rsidRPr="003B5D8D">
        <w:rPr>
          <w:rFonts w:cs="Arial"/>
          <w:bCs/>
          <w:iCs/>
        </w:rPr>
        <w:t>.</w:t>
      </w:r>
      <w:r w:rsidR="00482AF1">
        <w:rPr>
          <w:rFonts w:cs="Arial"/>
          <w:bCs/>
          <w:iCs/>
        </w:rPr>
        <w:t xml:space="preserve"> </w:t>
      </w:r>
    </w:p>
    <w:p w14:paraId="4AB01DC8" w14:textId="77777777" w:rsidR="003B5D8D" w:rsidRPr="003B5D8D" w:rsidRDefault="003B5D8D" w:rsidP="0057108F">
      <w:pPr>
        <w:spacing w:after="0"/>
        <w:rPr>
          <w:rFonts w:cs="Arial"/>
          <w:bCs/>
          <w:iCs/>
        </w:rPr>
      </w:pPr>
    </w:p>
    <w:tbl>
      <w:tblPr>
        <w:tblW w:w="1107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971"/>
        <w:gridCol w:w="2727"/>
        <w:gridCol w:w="2175"/>
        <w:gridCol w:w="2058"/>
        <w:gridCol w:w="2139"/>
      </w:tblGrid>
      <w:tr w:rsidR="00D91EF6" w:rsidRPr="00205DFE" w14:paraId="450B0A9C" w14:textId="77777777" w:rsidTr="00854EB5">
        <w:trPr>
          <w:trHeight w:val="736"/>
        </w:trPr>
        <w:tc>
          <w:tcPr>
            <w:tcW w:w="1971" w:type="dxa"/>
            <w:shd w:val="clear" w:color="auto" w:fill="F9FBFD" w:themeFill="text2" w:themeFillTint="33"/>
            <w:vAlign w:val="center"/>
          </w:tcPr>
          <w:p w14:paraId="61735CFE" w14:textId="000355E4" w:rsidR="0039559D" w:rsidRPr="003B5D8D" w:rsidRDefault="0039559D" w:rsidP="0057108F">
            <w:pPr>
              <w:spacing w:after="0" w:line="276" w:lineRule="auto"/>
              <w:jc w:val="center"/>
              <w:rPr>
                <w:iCs/>
                <w:sz w:val="20"/>
                <w:szCs w:val="20"/>
              </w:rPr>
            </w:pPr>
            <w:r w:rsidRPr="003B5D8D">
              <w:rPr>
                <w:iCs/>
                <w:sz w:val="20"/>
                <w:szCs w:val="20"/>
              </w:rPr>
              <w:t>NSP</w:t>
            </w:r>
            <w:r>
              <w:rPr>
                <w:iCs/>
                <w:sz w:val="20"/>
                <w:szCs w:val="20"/>
              </w:rPr>
              <w:t xml:space="preserve"> strategic areas</w:t>
            </w:r>
          </w:p>
        </w:tc>
        <w:tc>
          <w:tcPr>
            <w:tcW w:w="2727" w:type="dxa"/>
            <w:shd w:val="clear" w:color="auto" w:fill="F9FBFD" w:themeFill="text2" w:themeFillTint="33"/>
            <w:vAlign w:val="center"/>
          </w:tcPr>
          <w:p w14:paraId="2C2A1896" w14:textId="77777777" w:rsidR="009A672F" w:rsidRDefault="00826D19" w:rsidP="0057108F">
            <w:pPr>
              <w:spacing w:after="0" w:line="276" w:lineRule="auto"/>
              <w:jc w:val="center"/>
              <w:rPr>
                <w:iCs/>
                <w:sz w:val="20"/>
                <w:szCs w:val="20"/>
              </w:rPr>
            </w:pPr>
            <w:r>
              <w:rPr>
                <w:iCs/>
                <w:sz w:val="20"/>
                <w:szCs w:val="20"/>
              </w:rPr>
              <w:t>Key intervention</w:t>
            </w:r>
            <w:r w:rsidR="0039559D">
              <w:rPr>
                <w:iCs/>
                <w:sz w:val="20"/>
                <w:szCs w:val="20"/>
              </w:rPr>
              <w:t>s</w:t>
            </w:r>
          </w:p>
          <w:p w14:paraId="21C36639" w14:textId="617DA4DA" w:rsidR="0039559D" w:rsidRPr="009A672F" w:rsidRDefault="0039559D" w:rsidP="0057108F">
            <w:pPr>
              <w:spacing w:after="0" w:line="276" w:lineRule="auto"/>
              <w:jc w:val="center"/>
              <w:rPr>
                <w:iCs/>
                <w:sz w:val="14"/>
                <w:szCs w:val="14"/>
              </w:rPr>
            </w:pPr>
            <w:r w:rsidRPr="009A672F">
              <w:rPr>
                <w:iCs/>
                <w:sz w:val="14"/>
                <w:szCs w:val="14"/>
              </w:rPr>
              <w:t>(refer to NSP page numbers)</w:t>
            </w:r>
          </w:p>
        </w:tc>
        <w:tc>
          <w:tcPr>
            <w:tcW w:w="2175" w:type="dxa"/>
            <w:shd w:val="clear" w:color="auto" w:fill="F9FBFD" w:themeFill="text2" w:themeFillTint="33"/>
            <w:vAlign w:val="center"/>
          </w:tcPr>
          <w:p w14:paraId="7B774932" w14:textId="77777777" w:rsidR="009A672F" w:rsidRDefault="0039559D" w:rsidP="0057108F">
            <w:pPr>
              <w:spacing w:after="0" w:line="276" w:lineRule="auto"/>
              <w:jc w:val="center"/>
              <w:rPr>
                <w:iCs/>
                <w:sz w:val="20"/>
                <w:szCs w:val="20"/>
              </w:rPr>
            </w:pPr>
            <w:r w:rsidRPr="0006309E">
              <w:rPr>
                <w:iCs/>
                <w:sz w:val="20"/>
                <w:szCs w:val="20"/>
              </w:rPr>
              <w:t>Baseline and targets</w:t>
            </w:r>
          </w:p>
          <w:p w14:paraId="7C8C8122" w14:textId="45702CE6" w:rsidR="0039559D" w:rsidRPr="00205DFE" w:rsidRDefault="0039559D" w:rsidP="0057108F">
            <w:pPr>
              <w:spacing w:after="0" w:line="276" w:lineRule="auto"/>
              <w:jc w:val="center"/>
              <w:rPr>
                <w:iCs/>
                <w:sz w:val="20"/>
                <w:szCs w:val="20"/>
              </w:rPr>
            </w:pPr>
            <w:r w:rsidRPr="0006309E">
              <w:rPr>
                <w:iCs/>
                <w:sz w:val="14"/>
                <w:szCs w:val="14"/>
              </w:rPr>
              <w:t>(refer to NSP page numbers)</w:t>
            </w:r>
          </w:p>
        </w:tc>
        <w:tc>
          <w:tcPr>
            <w:tcW w:w="2058" w:type="dxa"/>
            <w:shd w:val="clear" w:color="auto" w:fill="F9FBFD" w:themeFill="text2" w:themeFillTint="33"/>
            <w:vAlign w:val="center"/>
          </w:tcPr>
          <w:p w14:paraId="3542EDC3" w14:textId="2FE50BA1" w:rsidR="0039559D" w:rsidRPr="00205DFE" w:rsidRDefault="00AC2F6A" w:rsidP="0057108F">
            <w:pPr>
              <w:spacing w:after="0" w:line="276" w:lineRule="auto"/>
              <w:jc w:val="center"/>
              <w:rPr>
                <w:iCs/>
                <w:sz w:val="20"/>
                <w:szCs w:val="20"/>
              </w:rPr>
            </w:pPr>
            <w:r>
              <w:rPr>
                <w:iCs/>
                <w:sz w:val="20"/>
                <w:szCs w:val="20"/>
              </w:rPr>
              <w:t>NSP funding need</w:t>
            </w:r>
            <w:r w:rsidR="0039559D">
              <w:rPr>
                <w:iCs/>
                <w:sz w:val="20"/>
                <w:szCs w:val="20"/>
              </w:rPr>
              <w:t xml:space="preserve"> </w:t>
            </w:r>
            <w:r w:rsidR="0039559D">
              <w:rPr>
                <w:iCs/>
                <w:sz w:val="20"/>
                <w:szCs w:val="20"/>
              </w:rPr>
              <w:br/>
            </w:r>
            <w:r w:rsidR="00F60A3E">
              <w:rPr>
                <w:iCs/>
                <w:sz w:val="14"/>
                <w:szCs w:val="14"/>
              </w:rPr>
              <w:t xml:space="preserve">In the grant </w:t>
            </w:r>
            <w:r w:rsidR="0039559D" w:rsidRPr="00814F01">
              <w:rPr>
                <w:iCs/>
                <w:sz w:val="14"/>
                <w:szCs w:val="14"/>
              </w:rPr>
              <w:t xml:space="preserve">currency for </w:t>
            </w:r>
            <w:r w:rsidR="00482AF1">
              <w:rPr>
                <w:iCs/>
                <w:sz w:val="14"/>
                <w:szCs w:val="14"/>
              </w:rPr>
              <w:t xml:space="preserve">implementation </w:t>
            </w:r>
            <w:r w:rsidR="00543B93">
              <w:rPr>
                <w:iCs/>
                <w:sz w:val="14"/>
                <w:szCs w:val="14"/>
              </w:rPr>
              <w:t xml:space="preserve">period </w:t>
            </w:r>
            <w:r w:rsidR="00482AF1">
              <w:rPr>
                <w:iCs/>
                <w:sz w:val="14"/>
                <w:szCs w:val="14"/>
              </w:rPr>
              <w:t xml:space="preserve">of this funding request </w:t>
            </w:r>
            <w:r w:rsidR="005E5C56">
              <w:rPr>
                <w:iCs/>
                <w:sz w:val="14"/>
                <w:szCs w:val="14"/>
              </w:rPr>
              <w:t xml:space="preserve"> </w:t>
            </w:r>
          </w:p>
        </w:tc>
        <w:tc>
          <w:tcPr>
            <w:tcW w:w="2139" w:type="dxa"/>
            <w:shd w:val="clear" w:color="auto" w:fill="F9FBFD" w:themeFill="text2" w:themeFillTint="33"/>
            <w:vAlign w:val="center"/>
          </w:tcPr>
          <w:p w14:paraId="2CCB8400" w14:textId="7F0A0853" w:rsidR="00543B93" w:rsidRDefault="00AE1980" w:rsidP="0057108F">
            <w:pPr>
              <w:spacing w:after="0" w:line="276" w:lineRule="auto"/>
              <w:jc w:val="center"/>
              <w:rPr>
                <w:iCs/>
                <w:sz w:val="20"/>
                <w:szCs w:val="20"/>
              </w:rPr>
            </w:pPr>
            <w:r>
              <w:rPr>
                <w:iCs/>
                <w:sz w:val="20"/>
                <w:szCs w:val="20"/>
              </w:rPr>
              <w:t>Anticipated</w:t>
            </w:r>
            <w:r w:rsidR="0039559D">
              <w:rPr>
                <w:iCs/>
                <w:sz w:val="20"/>
                <w:szCs w:val="20"/>
              </w:rPr>
              <w:t xml:space="preserve"> funding</w:t>
            </w:r>
            <w:r>
              <w:rPr>
                <w:iCs/>
                <w:sz w:val="20"/>
                <w:szCs w:val="20"/>
              </w:rPr>
              <w:t xml:space="preserve"> gap</w:t>
            </w:r>
            <w:r w:rsidR="0039559D">
              <w:rPr>
                <w:iCs/>
                <w:sz w:val="20"/>
                <w:szCs w:val="20"/>
              </w:rPr>
              <w:t xml:space="preserve"> </w:t>
            </w:r>
            <w:r w:rsidR="00543B93">
              <w:rPr>
                <w:iCs/>
                <w:sz w:val="20"/>
                <w:szCs w:val="20"/>
              </w:rPr>
              <w:t>as % of need</w:t>
            </w:r>
          </w:p>
          <w:p w14:paraId="63A827C8" w14:textId="1B02B6C4" w:rsidR="0039559D" w:rsidRPr="004B6A27" w:rsidRDefault="00543B93" w:rsidP="0057108F">
            <w:pPr>
              <w:spacing w:after="0" w:line="276" w:lineRule="auto"/>
              <w:jc w:val="center"/>
              <w:rPr>
                <w:iCs/>
                <w:sz w:val="14"/>
                <w:szCs w:val="14"/>
              </w:rPr>
            </w:pPr>
            <w:r w:rsidRPr="00814F01">
              <w:rPr>
                <w:iCs/>
                <w:sz w:val="14"/>
                <w:szCs w:val="14"/>
              </w:rPr>
              <w:t xml:space="preserve"> </w:t>
            </w:r>
            <w:r w:rsidR="00482AF1" w:rsidRPr="00814F01">
              <w:rPr>
                <w:iCs/>
                <w:sz w:val="14"/>
                <w:szCs w:val="14"/>
              </w:rPr>
              <w:t xml:space="preserve">for </w:t>
            </w:r>
            <w:r w:rsidR="00482AF1">
              <w:rPr>
                <w:iCs/>
                <w:sz w:val="14"/>
                <w:szCs w:val="14"/>
              </w:rPr>
              <w:t xml:space="preserve">implementation </w:t>
            </w:r>
            <w:r>
              <w:rPr>
                <w:iCs/>
                <w:sz w:val="14"/>
                <w:szCs w:val="14"/>
              </w:rPr>
              <w:t xml:space="preserve">period </w:t>
            </w:r>
            <w:r w:rsidR="00482AF1">
              <w:rPr>
                <w:iCs/>
                <w:sz w:val="14"/>
                <w:szCs w:val="14"/>
              </w:rPr>
              <w:t xml:space="preserve">of this funding request  </w:t>
            </w:r>
            <w:r w:rsidR="00AE1980">
              <w:rPr>
                <w:iCs/>
                <w:sz w:val="14"/>
                <w:szCs w:val="14"/>
              </w:rPr>
              <w:br/>
              <w:t>(</w:t>
            </w:r>
            <w:r w:rsidR="00AE1980" w:rsidRPr="00AE1980">
              <w:rPr>
                <w:b/>
                <w:iCs/>
                <w:sz w:val="14"/>
                <w:szCs w:val="14"/>
              </w:rPr>
              <w:t>before</w:t>
            </w:r>
            <w:r w:rsidR="0039559D">
              <w:rPr>
                <w:iCs/>
                <w:sz w:val="14"/>
                <w:szCs w:val="14"/>
              </w:rPr>
              <w:t xml:space="preserve"> Global Fund</w:t>
            </w:r>
            <w:r w:rsidR="00AE1980">
              <w:rPr>
                <w:iCs/>
                <w:sz w:val="14"/>
                <w:szCs w:val="14"/>
              </w:rPr>
              <w:t xml:space="preserve"> contribution</w:t>
            </w:r>
            <w:r w:rsidR="0039559D">
              <w:rPr>
                <w:iCs/>
                <w:sz w:val="14"/>
                <w:szCs w:val="14"/>
              </w:rPr>
              <w:t>)</w:t>
            </w:r>
          </w:p>
        </w:tc>
      </w:tr>
      <w:tr w:rsidR="00D21EFA" w:rsidRPr="00205DFE" w14:paraId="4E485F5E" w14:textId="77777777" w:rsidTr="00261D78">
        <w:trPr>
          <w:trHeight w:val="443"/>
        </w:trPr>
        <w:tc>
          <w:tcPr>
            <w:tcW w:w="1971" w:type="dxa"/>
            <w:vAlign w:val="center"/>
          </w:tcPr>
          <w:p w14:paraId="53A2CC2D" w14:textId="794A885E" w:rsidR="00D21EFA" w:rsidRPr="00205DFE" w:rsidRDefault="00D21EFA" w:rsidP="00D21EFA">
            <w:pPr>
              <w:pStyle w:val="ListParagraph"/>
              <w:tabs>
                <w:tab w:val="left" w:pos="63"/>
              </w:tabs>
              <w:spacing w:after="0"/>
              <w:ind w:left="63" w:right="-54"/>
              <w:contextualSpacing w:val="0"/>
              <w:rPr>
                <w:b/>
                <w:bCs/>
                <w:iCs/>
                <w:sz w:val="20"/>
                <w:szCs w:val="20"/>
              </w:rPr>
            </w:pPr>
            <w:r>
              <w:rPr>
                <w:b/>
                <w:bCs/>
                <w:iCs/>
                <w:sz w:val="20"/>
                <w:szCs w:val="20"/>
              </w:rPr>
              <w:t xml:space="preserve">Case finding, diagnosis and treatment of non-MDR, adult cases </w:t>
            </w:r>
          </w:p>
        </w:tc>
        <w:tc>
          <w:tcPr>
            <w:tcW w:w="2727" w:type="dxa"/>
            <w:vAlign w:val="center"/>
          </w:tcPr>
          <w:p w14:paraId="5FBA6B72" w14:textId="77777777" w:rsidR="00D21EFA" w:rsidRPr="00BF0794" w:rsidRDefault="00D21EFA" w:rsidP="00D21EFA">
            <w:pPr>
              <w:pStyle w:val="ListParagraph"/>
              <w:tabs>
                <w:tab w:val="left" w:pos="360"/>
              </w:tabs>
              <w:spacing w:after="0" w:line="240" w:lineRule="auto"/>
              <w:ind w:left="0" w:right="-54"/>
              <w:contextualSpacing w:val="0"/>
              <w:rPr>
                <w:rFonts w:cs="Arial"/>
                <w:iCs/>
                <w:sz w:val="20"/>
                <w:szCs w:val="20"/>
              </w:rPr>
            </w:pPr>
            <w:r w:rsidRPr="00BF0794">
              <w:rPr>
                <w:rFonts w:cs="Arial"/>
                <w:iCs/>
                <w:sz w:val="20"/>
                <w:szCs w:val="20"/>
              </w:rPr>
              <w:t>Summary (page 53-54)</w:t>
            </w:r>
          </w:p>
          <w:p w14:paraId="277FBB75" w14:textId="0DB8E39C" w:rsidR="00D21EFA" w:rsidRPr="00205DFE" w:rsidRDefault="00D21EFA" w:rsidP="00D21EFA">
            <w:pPr>
              <w:pStyle w:val="ListParagraph"/>
              <w:tabs>
                <w:tab w:val="left" w:pos="360"/>
              </w:tabs>
              <w:spacing w:after="0"/>
              <w:ind w:left="0" w:right="-54"/>
              <w:contextualSpacing w:val="0"/>
              <w:rPr>
                <w:b/>
                <w:bCs/>
                <w:iCs/>
                <w:sz w:val="20"/>
                <w:szCs w:val="20"/>
              </w:rPr>
            </w:pPr>
            <w:r w:rsidRPr="00BF0794">
              <w:rPr>
                <w:rFonts w:cs="Arial"/>
                <w:iCs/>
                <w:sz w:val="20"/>
                <w:szCs w:val="20"/>
              </w:rPr>
              <w:t>Details (page 53-68)</w:t>
            </w:r>
          </w:p>
        </w:tc>
        <w:tc>
          <w:tcPr>
            <w:tcW w:w="2175" w:type="dxa"/>
            <w:shd w:val="clear" w:color="auto" w:fill="auto"/>
            <w:vAlign w:val="center"/>
          </w:tcPr>
          <w:p w14:paraId="499E95F5" w14:textId="608C1AD1" w:rsidR="00D21EFA" w:rsidRPr="00ED1571" w:rsidRDefault="00D21EFA" w:rsidP="00D21EFA">
            <w:pPr>
              <w:spacing w:after="0"/>
              <w:jc w:val="right"/>
              <w:rPr>
                <w:b/>
                <w:bCs/>
                <w:iCs/>
                <w:sz w:val="20"/>
                <w:szCs w:val="20"/>
              </w:rPr>
            </w:pPr>
            <w:r w:rsidRPr="00D7736D">
              <w:rPr>
                <w:rFonts w:cs="Arial"/>
                <w:iCs/>
                <w:sz w:val="20"/>
                <w:szCs w:val="20"/>
              </w:rPr>
              <w:t xml:space="preserve">Page </w:t>
            </w:r>
            <w:r>
              <w:rPr>
                <w:rFonts w:cs="Arial"/>
                <w:iCs/>
                <w:sz w:val="20"/>
                <w:szCs w:val="20"/>
              </w:rPr>
              <w:t>48, 49</w:t>
            </w:r>
          </w:p>
        </w:tc>
        <w:tc>
          <w:tcPr>
            <w:tcW w:w="2058" w:type="dxa"/>
            <w:shd w:val="clear" w:color="auto" w:fill="auto"/>
            <w:vAlign w:val="center"/>
          </w:tcPr>
          <w:p w14:paraId="63EBA434" w14:textId="6D8D2B6C" w:rsidR="00D21EFA" w:rsidRPr="00ED1571" w:rsidRDefault="00D21EFA" w:rsidP="00D21EFA">
            <w:pPr>
              <w:spacing w:after="0"/>
              <w:jc w:val="right"/>
              <w:rPr>
                <w:b/>
                <w:bCs/>
                <w:iCs/>
                <w:sz w:val="20"/>
                <w:szCs w:val="20"/>
              </w:rPr>
            </w:pPr>
            <w:r>
              <w:rPr>
                <w:b/>
                <w:bCs/>
                <w:iCs/>
                <w:sz w:val="20"/>
                <w:szCs w:val="20"/>
              </w:rPr>
              <w:t>$ 277,576,721</w:t>
            </w:r>
          </w:p>
        </w:tc>
        <w:tc>
          <w:tcPr>
            <w:tcW w:w="2139" w:type="dxa"/>
            <w:shd w:val="clear" w:color="auto" w:fill="auto"/>
            <w:vAlign w:val="center"/>
          </w:tcPr>
          <w:p w14:paraId="620754AD" w14:textId="17D7EEF0" w:rsidR="00D21EFA" w:rsidRPr="000A19C8" w:rsidRDefault="00D21EFA" w:rsidP="00D21EFA">
            <w:pPr>
              <w:spacing w:after="0"/>
              <w:jc w:val="right"/>
              <w:rPr>
                <w:b/>
                <w:bCs/>
                <w:iCs/>
                <w:sz w:val="20"/>
                <w:szCs w:val="20"/>
              </w:rPr>
            </w:pPr>
            <w:r>
              <w:rPr>
                <w:b/>
                <w:bCs/>
                <w:iCs/>
                <w:sz w:val="20"/>
                <w:szCs w:val="20"/>
              </w:rPr>
              <w:t>51%</w:t>
            </w:r>
          </w:p>
        </w:tc>
      </w:tr>
      <w:tr w:rsidR="00D21EFA" w:rsidRPr="00205DFE" w14:paraId="09D6CC71" w14:textId="77777777" w:rsidTr="00261D78">
        <w:trPr>
          <w:trHeight w:val="420"/>
        </w:trPr>
        <w:tc>
          <w:tcPr>
            <w:tcW w:w="1971" w:type="dxa"/>
            <w:vAlign w:val="center"/>
          </w:tcPr>
          <w:p w14:paraId="497F6FEA" w14:textId="41FCA0A9" w:rsidR="00D21EFA" w:rsidRPr="00205DFE" w:rsidRDefault="00D21EFA" w:rsidP="00D21EFA">
            <w:pPr>
              <w:pStyle w:val="ListParagraph"/>
              <w:tabs>
                <w:tab w:val="left" w:pos="63"/>
              </w:tabs>
              <w:spacing w:after="0"/>
              <w:ind w:left="63" w:right="-54"/>
              <w:contextualSpacing w:val="0"/>
              <w:rPr>
                <w:b/>
                <w:bCs/>
                <w:iCs/>
                <w:sz w:val="20"/>
                <w:szCs w:val="20"/>
              </w:rPr>
            </w:pPr>
            <w:r>
              <w:rPr>
                <w:b/>
                <w:bCs/>
                <w:iCs/>
                <w:sz w:val="20"/>
                <w:szCs w:val="20"/>
              </w:rPr>
              <w:t>Case finding, diagnosis and treatment of Childhood TB cases</w:t>
            </w:r>
          </w:p>
        </w:tc>
        <w:tc>
          <w:tcPr>
            <w:tcW w:w="2727" w:type="dxa"/>
            <w:vAlign w:val="center"/>
          </w:tcPr>
          <w:p w14:paraId="78175DBF" w14:textId="77777777" w:rsidR="00D21EFA" w:rsidRPr="001F3BA0" w:rsidRDefault="00D21EFA" w:rsidP="00D21EFA">
            <w:pPr>
              <w:pStyle w:val="NoSpacing"/>
              <w:rPr>
                <w:rFonts w:cs="Arial"/>
                <w:sz w:val="20"/>
                <w:szCs w:val="20"/>
              </w:rPr>
            </w:pPr>
            <w:r w:rsidRPr="001F3BA0">
              <w:rPr>
                <w:rFonts w:cs="Arial"/>
                <w:sz w:val="20"/>
                <w:szCs w:val="20"/>
              </w:rPr>
              <w:t>Summary (page 50)</w:t>
            </w:r>
          </w:p>
          <w:p w14:paraId="38F54AE3" w14:textId="337454A9" w:rsidR="00D21EFA" w:rsidRPr="00205DFE" w:rsidRDefault="00D21EFA" w:rsidP="00D21EFA">
            <w:pPr>
              <w:pStyle w:val="ListParagraph"/>
              <w:tabs>
                <w:tab w:val="left" w:pos="360"/>
              </w:tabs>
              <w:spacing w:after="0"/>
              <w:ind w:left="0" w:right="-57"/>
              <w:contextualSpacing w:val="0"/>
              <w:rPr>
                <w:b/>
                <w:bCs/>
                <w:iCs/>
                <w:sz w:val="20"/>
                <w:szCs w:val="20"/>
              </w:rPr>
            </w:pPr>
            <w:r w:rsidRPr="001F3BA0">
              <w:rPr>
                <w:rFonts w:cs="Arial"/>
                <w:sz w:val="20"/>
                <w:szCs w:val="20"/>
              </w:rPr>
              <w:t>Details (page 68-72)</w:t>
            </w:r>
          </w:p>
        </w:tc>
        <w:tc>
          <w:tcPr>
            <w:tcW w:w="2175" w:type="dxa"/>
            <w:shd w:val="clear" w:color="auto" w:fill="auto"/>
            <w:vAlign w:val="center"/>
          </w:tcPr>
          <w:p w14:paraId="72CE4A3A" w14:textId="2C9650B2" w:rsidR="00D21EFA" w:rsidRPr="00ED1571" w:rsidRDefault="00D21EFA" w:rsidP="00D21EFA">
            <w:pPr>
              <w:spacing w:after="0"/>
              <w:jc w:val="right"/>
              <w:rPr>
                <w:b/>
                <w:bCs/>
                <w:iCs/>
                <w:sz w:val="20"/>
                <w:szCs w:val="20"/>
              </w:rPr>
            </w:pPr>
            <w:r w:rsidRPr="00D7736D">
              <w:rPr>
                <w:rFonts w:cs="Arial"/>
                <w:sz w:val="20"/>
                <w:szCs w:val="20"/>
              </w:rPr>
              <w:t xml:space="preserve">Page </w:t>
            </w:r>
            <w:r>
              <w:rPr>
                <w:rFonts w:cs="Arial"/>
                <w:sz w:val="20"/>
                <w:szCs w:val="20"/>
              </w:rPr>
              <w:t>50</w:t>
            </w:r>
          </w:p>
        </w:tc>
        <w:tc>
          <w:tcPr>
            <w:tcW w:w="2058" w:type="dxa"/>
            <w:shd w:val="clear" w:color="auto" w:fill="auto"/>
            <w:vAlign w:val="center"/>
          </w:tcPr>
          <w:p w14:paraId="6F027C1E" w14:textId="630994EF" w:rsidR="00D21EFA" w:rsidRPr="00ED1571" w:rsidRDefault="00D21EFA" w:rsidP="00D21EFA">
            <w:pPr>
              <w:spacing w:after="0"/>
              <w:jc w:val="right"/>
              <w:rPr>
                <w:b/>
                <w:bCs/>
                <w:iCs/>
                <w:sz w:val="20"/>
                <w:szCs w:val="20"/>
              </w:rPr>
            </w:pPr>
            <w:r w:rsidRPr="004220AB">
              <w:rPr>
                <w:b/>
                <w:bCs/>
                <w:iCs/>
                <w:sz w:val="20"/>
                <w:szCs w:val="20"/>
              </w:rPr>
              <w:t>$</w:t>
            </w:r>
            <w:r>
              <w:t xml:space="preserve"> </w:t>
            </w:r>
            <w:r>
              <w:rPr>
                <w:b/>
                <w:bCs/>
                <w:iCs/>
                <w:sz w:val="20"/>
                <w:szCs w:val="20"/>
              </w:rPr>
              <w:t>5,861,070</w:t>
            </w:r>
          </w:p>
        </w:tc>
        <w:tc>
          <w:tcPr>
            <w:tcW w:w="2139" w:type="dxa"/>
            <w:shd w:val="clear" w:color="auto" w:fill="auto"/>
            <w:vAlign w:val="center"/>
          </w:tcPr>
          <w:p w14:paraId="4D607E36" w14:textId="7AB5E96E" w:rsidR="00D21EFA" w:rsidRPr="000A19C8" w:rsidRDefault="00D21EFA" w:rsidP="00D21EFA">
            <w:pPr>
              <w:spacing w:after="0"/>
              <w:jc w:val="right"/>
              <w:rPr>
                <w:b/>
                <w:bCs/>
                <w:iCs/>
                <w:sz w:val="20"/>
                <w:szCs w:val="20"/>
              </w:rPr>
            </w:pPr>
            <w:r>
              <w:rPr>
                <w:b/>
                <w:bCs/>
                <w:iCs/>
                <w:sz w:val="20"/>
                <w:szCs w:val="20"/>
              </w:rPr>
              <w:t>77%</w:t>
            </w:r>
          </w:p>
        </w:tc>
      </w:tr>
      <w:tr w:rsidR="00D21EFA" w:rsidRPr="00205DFE" w14:paraId="6351A469" w14:textId="77777777" w:rsidTr="00261D78">
        <w:trPr>
          <w:trHeight w:val="420"/>
        </w:trPr>
        <w:tc>
          <w:tcPr>
            <w:tcW w:w="1971" w:type="dxa"/>
            <w:vAlign w:val="center"/>
          </w:tcPr>
          <w:p w14:paraId="6C669054" w14:textId="40E3A968" w:rsidR="00D21EFA" w:rsidRPr="00205DFE" w:rsidRDefault="00D21EFA" w:rsidP="00D21EFA">
            <w:pPr>
              <w:pStyle w:val="ListParagraph"/>
              <w:tabs>
                <w:tab w:val="left" w:pos="63"/>
              </w:tabs>
              <w:spacing w:after="0"/>
              <w:ind w:left="63" w:right="-54"/>
              <w:contextualSpacing w:val="0"/>
              <w:rPr>
                <w:b/>
                <w:bCs/>
                <w:iCs/>
                <w:sz w:val="20"/>
                <w:szCs w:val="20"/>
              </w:rPr>
            </w:pPr>
            <w:r>
              <w:rPr>
                <w:b/>
                <w:bCs/>
                <w:iCs/>
                <w:sz w:val="20"/>
                <w:szCs w:val="20"/>
              </w:rPr>
              <w:t xml:space="preserve">Provision of preventive treatment to risk groups </w:t>
            </w:r>
            <w:r w:rsidRPr="006475C2">
              <w:rPr>
                <w:b/>
                <w:bCs/>
                <w:iCs/>
                <w:sz w:val="20"/>
                <w:szCs w:val="20"/>
              </w:rPr>
              <w:t>and infection control activities</w:t>
            </w:r>
          </w:p>
        </w:tc>
        <w:tc>
          <w:tcPr>
            <w:tcW w:w="2727" w:type="dxa"/>
            <w:vAlign w:val="center"/>
          </w:tcPr>
          <w:p w14:paraId="13F3FF64" w14:textId="77777777" w:rsidR="00D21EFA" w:rsidRPr="00E250C6" w:rsidRDefault="00D21EFA" w:rsidP="00D21EFA">
            <w:pPr>
              <w:pStyle w:val="NoSpacing"/>
              <w:rPr>
                <w:rFonts w:cs="Arial"/>
                <w:sz w:val="20"/>
                <w:szCs w:val="20"/>
              </w:rPr>
            </w:pPr>
            <w:r w:rsidRPr="00E250C6">
              <w:rPr>
                <w:rFonts w:cs="Arial"/>
                <w:sz w:val="20"/>
                <w:szCs w:val="20"/>
              </w:rPr>
              <w:t>Summary (page 51)</w:t>
            </w:r>
          </w:p>
          <w:p w14:paraId="35BBE1D9" w14:textId="12995282" w:rsidR="00D21EFA" w:rsidRPr="00205DFE" w:rsidRDefault="00D21EFA" w:rsidP="00D21EFA">
            <w:pPr>
              <w:pStyle w:val="ListParagraph"/>
              <w:tabs>
                <w:tab w:val="left" w:pos="360"/>
              </w:tabs>
              <w:spacing w:after="0"/>
              <w:ind w:left="0" w:right="-57"/>
              <w:contextualSpacing w:val="0"/>
              <w:rPr>
                <w:b/>
                <w:bCs/>
                <w:iCs/>
                <w:sz w:val="20"/>
                <w:szCs w:val="20"/>
              </w:rPr>
            </w:pPr>
            <w:r w:rsidRPr="00E250C6">
              <w:rPr>
                <w:rFonts w:cs="Arial"/>
                <w:sz w:val="20"/>
                <w:szCs w:val="20"/>
              </w:rPr>
              <w:t>Details (page 73-75)</w:t>
            </w:r>
          </w:p>
        </w:tc>
        <w:tc>
          <w:tcPr>
            <w:tcW w:w="2175" w:type="dxa"/>
            <w:shd w:val="clear" w:color="auto" w:fill="auto"/>
            <w:vAlign w:val="center"/>
          </w:tcPr>
          <w:p w14:paraId="03D41B13" w14:textId="7DCB8EB1" w:rsidR="00D21EFA" w:rsidRPr="00ED1571" w:rsidRDefault="00D21EFA" w:rsidP="00D21EFA">
            <w:pPr>
              <w:spacing w:after="0"/>
              <w:jc w:val="right"/>
              <w:rPr>
                <w:b/>
                <w:bCs/>
                <w:iCs/>
                <w:sz w:val="20"/>
                <w:szCs w:val="20"/>
              </w:rPr>
            </w:pPr>
            <w:r w:rsidRPr="00D7736D">
              <w:rPr>
                <w:rFonts w:cs="Arial"/>
                <w:sz w:val="20"/>
                <w:szCs w:val="20"/>
              </w:rPr>
              <w:t xml:space="preserve">Page </w:t>
            </w:r>
            <w:r>
              <w:rPr>
                <w:rFonts w:cs="Arial"/>
                <w:sz w:val="20"/>
                <w:szCs w:val="20"/>
              </w:rPr>
              <w:t>51</w:t>
            </w:r>
          </w:p>
        </w:tc>
        <w:tc>
          <w:tcPr>
            <w:tcW w:w="2058" w:type="dxa"/>
            <w:shd w:val="clear" w:color="auto" w:fill="auto"/>
            <w:vAlign w:val="center"/>
          </w:tcPr>
          <w:p w14:paraId="7B1F6830" w14:textId="1DD9BA6C" w:rsidR="00D21EFA" w:rsidRPr="00ED1571" w:rsidRDefault="00D21EFA" w:rsidP="00D21EFA">
            <w:pPr>
              <w:spacing w:after="0"/>
              <w:jc w:val="right"/>
              <w:rPr>
                <w:b/>
                <w:bCs/>
                <w:iCs/>
                <w:sz w:val="20"/>
                <w:szCs w:val="20"/>
              </w:rPr>
            </w:pPr>
            <w:r w:rsidRPr="004220AB">
              <w:rPr>
                <w:b/>
                <w:bCs/>
                <w:iCs/>
                <w:sz w:val="20"/>
                <w:szCs w:val="20"/>
              </w:rPr>
              <w:t>$</w:t>
            </w:r>
            <w:r>
              <w:t xml:space="preserve"> </w:t>
            </w:r>
            <w:r>
              <w:rPr>
                <w:b/>
                <w:bCs/>
                <w:iCs/>
                <w:sz w:val="20"/>
                <w:szCs w:val="20"/>
              </w:rPr>
              <w:t>57,147,096</w:t>
            </w:r>
          </w:p>
        </w:tc>
        <w:tc>
          <w:tcPr>
            <w:tcW w:w="2139" w:type="dxa"/>
            <w:shd w:val="clear" w:color="auto" w:fill="auto"/>
            <w:vAlign w:val="center"/>
          </w:tcPr>
          <w:p w14:paraId="7EECF3CB" w14:textId="372E8579" w:rsidR="00D21EFA" w:rsidRPr="000A19C8" w:rsidRDefault="00D21EFA" w:rsidP="00D21EFA">
            <w:pPr>
              <w:spacing w:after="0"/>
              <w:jc w:val="right"/>
              <w:rPr>
                <w:b/>
                <w:bCs/>
                <w:iCs/>
                <w:sz w:val="20"/>
                <w:szCs w:val="20"/>
              </w:rPr>
            </w:pPr>
            <w:r>
              <w:rPr>
                <w:b/>
                <w:bCs/>
                <w:iCs/>
                <w:sz w:val="20"/>
                <w:szCs w:val="20"/>
              </w:rPr>
              <w:t>63%</w:t>
            </w:r>
          </w:p>
        </w:tc>
      </w:tr>
      <w:tr w:rsidR="00D21EFA" w:rsidRPr="00205DFE" w14:paraId="7BD53736" w14:textId="77777777" w:rsidTr="00261D78">
        <w:trPr>
          <w:trHeight w:val="420"/>
        </w:trPr>
        <w:tc>
          <w:tcPr>
            <w:tcW w:w="1971" w:type="dxa"/>
            <w:vAlign w:val="center"/>
          </w:tcPr>
          <w:p w14:paraId="106DB0F8" w14:textId="5C4D418C" w:rsidR="00D21EFA" w:rsidRPr="00205DFE" w:rsidRDefault="00D21EFA" w:rsidP="00D21EFA">
            <w:pPr>
              <w:pStyle w:val="ListParagraph"/>
              <w:tabs>
                <w:tab w:val="left" w:pos="63"/>
              </w:tabs>
              <w:spacing w:after="0"/>
              <w:ind w:left="63" w:right="-54"/>
              <w:contextualSpacing w:val="0"/>
              <w:rPr>
                <w:b/>
                <w:bCs/>
                <w:iCs/>
                <w:sz w:val="20"/>
                <w:szCs w:val="20"/>
              </w:rPr>
            </w:pPr>
            <w:r w:rsidRPr="00563F06">
              <w:rPr>
                <w:b/>
                <w:bCs/>
                <w:iCs/>
                <w:sz w:val="20"/>
                <w:szCs w:val="20"/>
              </w:rPr>
              <w:t>Case finding, diagnosis and treatment of MDR</w:t>
            </w:r>
            <w:r>
              <w:rPr>
                <w:b/>
                <w:bCs/>
                <w:iCs/>
                <w:sz w:val="20"/>
                <w:szCs w:val="20"/>
              </w:rPr>
              <w:t>-TB</w:t>
            </w:r>
            <w:r w:rsidRPr="00563F06">
              <w:rPr>
                <w:b/>
                <w:bCs/>
                <w:iCs/>
                <w:sz w:val="20"/>
                <w:szCs w:val="20"/>
              </w:rPr>
              <w:t xml:space="preserve"> cases</w:t>
            </w:r>
          </w:p>
        </w:tc>
        <w:tc>
          <w:tcPr>
            <w:tcW w:w="2727" w:type="dxa"/>
            <w:vAlign w:val="center"/>
          </w:tcPr>
          <w:p w14:paraId="36F0FF0E" w14:textId="77777777" w:rsidR="00D21EFA" w:rsidRPr="00E90C97" w:rsidRDefault="00D21EFA" w:rsidP="00D21EFA">
            <w:pPr>
              <w:pStyle w:val="NoSpacing"/>
              <w:rPr>
                <w:rFonts w:cs="Arial"/>
                <w:sz w:val="20"/>
                <w:szCs w:val="20"/>
              </w:rPr>
            </w:pPr>
            <w:r w:rsidRPr="00E90C97">
              <w:rPr>
                <w:rFonts w:cs="Arial"/>
                <w:sz w:val="20"/>
                <w:szCs w:val="20"/>
              </w:rPr>
              <w:t>Summary (page 51)</w:t>
            </w:r>
          </w:p>
          <w:p w14:paraId="5B2ACA1F" w14:textId="567588D0" w:rsidR="00D21EFA" w:rsidRPr="00205DFE" w:rsidRDefault="00D21EFA" w:rsidP="00D21EFA">
            <w:pPr>
              <w:pStyle w:val="ListParagraph"/>
              <w:tabs>
                <w:tab w:val="left" w:pos="360"/>
              </w:tabs>
              <w:spacing w:after="0"/>
              <w:ind w:left="0" w:right="-57"/>
              <w:contextualSpacing w:val="0"/>
              <w:rPr>
                <w:b/>
                <w:bCs/>
                <w:iCs/>
                <w:sz w:val="20"/>
                <w:szCs w:val="20"/>
              </w:rPr>
            </w:pPr>
            <w:r w:rsidRPr="00E90C97">
              <w:rPr>
                <w:rFonts w:cs="Arial"/>
                <w:sz w:val="20"/>
                <w:szCs w:val="20"/>
              </w:rPr>
              <w:t>Details (page 75-78)</w:t>
            </w:r>
          </w:p>
        </w:tc>
        <w:tc>
          <w:tcPr>
            <w:tcW w:w="2175" w:type="dxa"/>
            <w:shd w:val="clear" w:color="auto" w:fill="auto"/>
            <w:vAlign w:val="center"/>
          </w:tcPr>
          <w:p w14:paraId="6D7BB789" w14:textId="5513D217" w:rsidR="00D21EFA" w:rsidRPr="00ED1571" w:rsidRDefault="00D21EFA" w:rsidP="00D21EFA">
            <w:pPr>
              <w:spacing w:after="0"/>
              <w:jc w:val="right"/>
              <w:rPr>
                <w:b/>
                <w:bCs/>
                <w:iCs/>
                <w:sz w:val="20"/>
                <w:szCs w:val="20"/>
              </w:rPr>
            </w:pPr>
            <w:r>
              <w:rPr>
                <w:rFonts w:cs="Arial"/>
                <w:sz w:val="20"/>
                <w:szCs w:val="20"/>
              </w:rPr>
              <w:t>Page 51</w:t>
            </w:r>
          </w:p>
        </w:tc>
        <w:tc>
          <w:tcPr>
            <w:tcW w:w="2058" w:type="dxa"/>
            <w:shd w:val="clear" w:color="auto" w:fill="auto"/>
            <w:vAlign w:val="center"/>
          </w:tcPr>
          <w:p w14:paraId="3E3CE620" w14:textId="052405DD" w:rsidR="00D21EFA" w:rsidRPr="00ED1571" w:rsidRDefault="00D21EFA" w:rsidP="00D21EFA">
            <w:pPr>
              <w:spacing w:after="0"/>
              <w:jc w:val="right"/>
              <w:rPr>
                <w:b/>
                <w:bCs/>
                <w:iCs/>
                <w:sz w:val="20"/>
                <w:szCs w:val="20"/>
              </w:rPr>
            </w:pPr>
            <w:r w:rsidRPr="004220AB">
              <w:rPr>
                <w:b/>
                <w:bCs/>
                <w:iCs/>
                <w:sz w:val="20"/>
                <w:szCs w:val="20"/>
              </w:rPr>
              <w:t>$</w:t>
            </w:r>
            <w:r>
              <w:t xml:space="preserve"> </w:t>
            </w:r>
            <w:r>
              <w:rPr>
                <w:b/>
                <w:bCs/>
                <w:iCs/>
                <w:sz w:val="20"/>
                <w:szCs w:val="20"/>
              </w:rPr>
              <w:t>41,644,065</w:t>
            </w:r>
          </w:p>
        </w:tc>
        <w:tc>
          <w:tcPr>
            <w:tcW w:w="2139" w:type="dxa"/>
            <w:shd w:val="clear" w:color="auto" w:fill="auto"/>
            <w:vAlign w:val="center"/>
          </w:tcPr>
          <w:p w14:paraId="41552E12" w14:textId="2582D0DB" w:rsidR="00D21EFA" w:rsidRPr="000A19C8" w:rsidRDefault="00D21EFA" w:rsidP="00D21EFA">
            <w:pPr>
              <w:spacing w:after="0"/>
              <w:jc w:val="right"/>
              <w:rPr>
                <w:b/>
                <w:bCs/>
                <w:iCs/>
                <w:sz w:val="20"/>
                <w:szCs w:val="20"/>
              </w:rPr>
            </w:pPr>
            <w:r>
              <w:rPr>
                <w:b/>
                <w:bCs/>
                <w:iCs/>
                <w:sz w:val="20"/>
                <w:szCs w:val="20"/>
              </w:rPr>
              <w:t>48%</w:t>
            </w:r>
          </w:p>
        </w:tc>
      </w:tr>
      <w:tr w:rsidR="00D21EFA" w:rsidRPr="00205DFE" w14:paraId="27BF3207" w14:textId="77777777" w:rsidTr="00261D78">
        <w:trPr>
          <w:trHeight w:val="420"/>
        </w:trPr>
        <w:tc>
          <w:tcPr>
            <w:tcW w:w="1971" w:type="dxa"/>
            <w:vAlign w:val="center"/>
          </w:tcPr>
          <w:p w14:paraId="3406DBD6" w14:textId="232E87E5" w:rsidR="00D21EFA" w:rsidRPr="00205DFE" w:rsidRDefault="00D21EFA" w:rsidP="00D21EFA">
            <w:pPr>
              <w:pStyle w:val="ListParagraph"/>
              <w:tabs>
                <w:tab w:val="left" w:pos="63"/>
              </w:tabs>
              <w:spacing w:after="0"/>
              <w:ind w:left="63" w:right="-54"/>
              <w:contextualSpacing w:val="0"/>
              <w:rPr>
                <w:b/>
                <w:bCs/>
                <w:iCs/>
                <w:sz w:val="20"/>
                <w:szCs w:val="20"/>
              </w:rPr>
            </w:pPr>
            <w:proofErr w:type="spellStart"/>
            <w:r w:rsidRPr="00854EB5">
              <w:rPr>
                <w:b/>
                <w:bCs/>
                <w:iCs/>
                <w:sz w:val="20"/>
                <w:szCs w:val="20"/>
              </w:rPr>
              <w:t>Address</w:t>
            </w:r>
            <w:r>
              <w:rPr>
                <w:b/>
                <w:bCs/>
                <w:iCs/>
                <w:sz w:val="20"/>
                <w:szCs w:val="20"/>
              </w:rPr>
              <w:t>sing</w:t>
            </w:r>
            <w:proofErr w:type="spellEnd"/>
            <w:r w:rsidRPr="00854EB5">
              <w:rPr>
                <w:b/>
                <w:bCs/>
                <w:iCs/>
                <w:sz w:val="20"/>
                <w:szCs w:val="20"/>
              </w:rPr>
              <w:t xml:space="preserve"> health care system bottlenecks </w:t>
            </w:r>
          </w:p>
        </w:tc>
        <w:tc>
          <w:tcPr>
            <w:tcW w:w="2727" w:type="dxa"/>
            <w:vAlign w:val="center"/>
          </w:tcPr>
          <w:p w14:paraId="2287DA18" w14:textId="77777777" w:rsidR="00D21EFA" w:rsidRPr="00E90C97" w:rsidRDefault="00D21EFA" w:rsidP="00D21EFA">
            <w:pPr>
              <w:pStyle w:val="NoSpacing"/>
              <w:rPr>
                <w:rFonts w:cs="Arial"/>
                <w:sz w:val="20"/>
                <w:szCs w:val="20"/>
              </w:rPr>
            </w:pPr>
            <w:r w:rsidRPr="00E90C97">
              <w:rPr>
                <w:rFonts w:cs="Arial"/>
                <w:sz w:val="20"/>
                <w:szCs w:val="20"/>
              </w:rPr>
              <w:t>Summary (page 52)</w:t>
            </w:r>
          </w:p>
          <w:p w14:paraId="062C6AA0" w14:textId="50C67DE5" w:rsidR="00D21EFA" w:rsidRPr="00205DFE" w:rsidRDefault="00D21EFA" w:rsidP="00D21EFA">
            <w:pPr>
              <w:pStyle w:val="ListParagraph"/>
              <w:tabs>
                <w:tab w:val="left" w:pos="360"/>
              </w:tabs>
              <w:spacing w:after="0"/>
              <w:ind w:left="0" w:right="-57"/>
              <w:contextualSpacing w:val="0"/>
              <w:rPr>
                <w:b/>
                <w:bCs/>
                <w:iCs/>
                <w:sz w:val="20"/>
                <w:szCs w:val="20"/>
              </w:rPr>
            </w:pPr>
            <w:r w:rsidRPr="00E90C97">
              <w:rPr>
                <w:rFonts w:cs="Arial"/>
                <w:sz w:val="20"/>
                <w:szCs w:val="20"/>
              </w:rPr>
              <w:t>Details (page 78-89)</w:t>
            </w:r>
          </w:p>
        </w:tc>
        <w:tc>
          <w:tcPr>
            <w:tcW w:w="2175" w:type="dxa"/>
            <w:shd w:val="clear" w:color="auto" w:fill="auto"/>
            <w:vAlign w:val="center"/>
          </w:tcPr>
          <w:p w14:paraId="22D5B227" w14:textId="7C233CD1" w:rsidR="00D21EFA" w:rsidRPr="00ED1571" w:rsidRDefault="00D21EFA" w:rsidP="00D21EFA">
            <w:pPr>
              <w:spacing w:after="0"/>
              <w:jc w:val="right"/>
              <w:rPr>
                <w:b/>
                <w:bCs/>
                <w:iCs/>
                <w:sz w:val="20"/>
                <w:szCs w:val="20"/>
              </w:rPr>
            </w:pPr>
            <w:r w:rsidRPr="00111E4D">
              <w:rPr>
                <w:rFonts w:cs="Arial"/>
                <w:sz w:val="20"/>
                <w:szCs w:val="20"/>
              </w:rPr>
              <w:t xml:space="preserve">Page </w:t>
            </w:r>
            <w:r>
              <w:rPr>
                <w:rFonts w:cs="Arial"/>
                <w:sz w:val="20"/>
                <w:szCs w:val="20"/>
              </w:rPr>
              <w:t>52</w:t>
            </w:r>
          </w:p>
        </w:tc>
        <w:tc>
          <w:tcPr>
            <w:tcW w:w="2058" w:type="dxa"/>
            <w:shd w:val="clear" w:color="auto" w:fill="auto"/>
            <w:vAlign w:val="center"/>
          </w:tcPr>
          <w:p w14:paraId="7B204D51" w14:textId="1BFA7F5C" w:rsidR="00D21EFA" w:rsidRPr="00ED1571" w:rsidRDefault="00D21EFA" w:rsidP="00D21EFA">
            <w:pPr>
              <w:spacing w:after="0"/>
              <w:jc w:val="right"/>
              <w:rPr>
                <w:b/>
                <w:bCs/>
                <w:iCs/>
                <w:sz w:val="20"/>
                <w:szCs w:val="20"/>
              </w:rPr>
            </w:pPr>
            <w:r w:rsidRPr="004220AB">
              <w:rPr>
                <w:b/>
                <w:bCs/>
                <w:iCs/>
                <w:sz w:val="20"/>
                <w:szCs w:val="20"/>
              </w:rPr>
              <w:t>$</w:t>
            </w:r>
            <w:r>
              <w:t xml:space="preserve"> </w:t>
            </w:r>
            <w:r>
              <w:rPr>
                <w:b/>
                <w:bCs/>
                <w:iCs/>
                <w:sz w:val="20"/>
                <w:szCs w:val="20"/>
              </w:rPr>
              <w:t>147,337,836</w:t>
            </w:r>
          </w:p>
        </w:tc>
        <w:tc>
          <w:tcPr>
            <w:tcW w:w="2139" w:type="dxa"/>
            <w:shd w:val="clear" w:color="auto" w:fill="auto"/>
            <w:vAlign w:val="center"/>
          </w:tcPr>
          <w:p w14:paraId="214323C0" w14:textId="0F0819CB" w:rsidR="00D21EFA" w:rsidRPr="000A19C8" w:rsidRDefault="00D21EFA" w:rsidP="00D21EFA">
            <w:pPr>
              <w:spacing w:after="0"/>
              <w:jc w:val="right"/>
              <w:rPr>
                <w:b/>
                <w:bCs/>
                <w:iCs/>
                <w:sz w:val="20"/>
                <w:szCs w:val="20"/>
              </w:rPr>
            </w:pPr>
            <w:r>
              <w:rPr>
                <w:b/>
                <w:bCs/>
                <w:iCs/>
                <w:sz w:val="20"/>
                <w:szCs w:val="20"/>
              </w:rPr>
              <w:t>14%</w:t>
            </w:r>
          </w:p>
        </w:tc>
      </w:tr>
      <w:tr w:rsidR="00D21EFA" w:rsidRPr="00205DFE" w14:paraId="313F109B" w14:textId="77777777" w:rsidTr="00261D78">
        <w:trPr>
          <w:trHeight w:val="420"/>
        </w:trPr>
        <w:tc>
          <w:tcPr>
            <w:tcW w:w="1971" w:type="dxa"/>
            <w:vAlign w:val="center"/>
          </w:tcPr>
          <w:p w14:paraId="53BBD960" w14:textId="4E4AB815" w:rsidR="00D21EFA" w:rsidRPr="00205DFE" w:rsidRDefault="00D21EFA" w:rsidP="00D21EFA">
            <w:pPr>
              <w:pStyle w:val="ListParagraph"/>
              <w:tabs>
                <w:tab w:val="left" w:pos="63"/>
              </w:tabs>
              <w:spacing w:after="0"/>
              <w:ind w:left="63" w:right="-54"/>
              <w:contextualSpacing w:val="0"/>
              <w:rPr>
                <w:b/>
                <w:bCs/>
                <w:iCs/>
                <w:sz w:val="20"/>
                <w:szCs w:val="20"/>
              </w:rPr>
            </w:pPr>
            <w:r>
              <w:rPr>
                <w:b/>
                <w:bCs/>
                <w:iCs/>
                <w:sz w:val="20"/>
                <w:szCs w:val="20"/>
              </w:rPr>
              <w:t>S</w:t>
            </w:r>
            <w:r w:rsidRPr="00854EB5">
              <w:rPr>
                <w:b/>
                <w:bCs/>
                <w:iCs/>
                <w:sz w:val="20"/>
                <w:szCs w:val="20"/>
              </w:rPr>
              <w:t>upport for operational research to foster innovation</w:t>
            </w:r>
          </w:p>
        </w:tc>
        <w:tc>
          <w:tcPr>
            <w:tcW w:w="2727" w:type="dxa"/>
            <w:vAlign w:val="center"/>
          </w:tcPr>
          <w:p w14:paraId="350CE492" w14:textId="77777777" w:rsidR="00D21EFA" w:rsidRPr="00745EC3" w:rsidRDefault="00D21EFA" w:rsidP="00D21EFA">
            <w:pPr>
              <w:pStyle w:val="ListParagraph"/>
              <w:tabs>
                <w:tab w:val="left" w:pos="360"/>
              </w:tabs>
              <w:spacing w:after="0" w:line="240" w:lineRule="auto"/>
              <w:ind w:left="0" w:right="-54"/>
              <w:contextualSpacing w:val="0"/>
              <w:rPr>
                <w:rFonts w:cs="Arial"/>
                <w:iCs/>
                <w:sz w:val="20"/>
                <w:szCs w:val="20"/>
              </w:rPr>
            </w:pPr>
            <w:r w:rsidRPr="00745EC3">
              <w:rPr>
                <w:rFonts w:cs="Arial"/>
                <w:iCs/>
                <w:sz w:val="20"/>
                <w:szCs w:val="20"/>
              </w:rPr>
              <w:t>Summary (page 53)</w:t>
            </w:r>
          </w:p>
          <w:p w14:paraId="688F0E91" w14:textId="4AA981C4" w:rsidR="00D21EFA" w:rsidRPr="00D91EF6" w:rsidRDefault="00D21EFA" w:rsidP="00D21EFA">
            <w:pPr>
              <w:pStyle w:val="ListParagraph"/>
              <w:tabs>
                <w:tab w:val="left" w:pos="360"/>
              </w:tabs>
              <w:spacing w:after="0"/>
              <w:ind w:left="0" w:right="-57"/>
              <w:rPr>
                <w:b/>
                <w:bCs/>
                <w:iCs/>
                <w:sz w:val="20"/>
                <w:szCs w:val="20"/>
              </w:rPr>
            </w:pPr>
            <w:r w:rsidRPr="00745EC3">
              <w:rPr>
                <w:rFonts w:cs="Arial"/>
                <w:iCs/>
                <w:sz w:val="20"/>
                <w:szCs w:val="20"/>
              </w:rPr>
              <w:t>Details (page 91)</w:t>
            </w:r>
          </w:p>
        </w:tc>
        <w:tc>
          <w:tcPr>
            <w:tcW w:w="2175" w:type="dxa"/>
            <w:shd w:val="clear" w:color="auto" w:fill="auto"/>
            <w:vAlign w:val="center"/>
          </w:tcPr>
          <w:p w14:paraId="532EB095" w14:textId="4EE5D75F" w:rsidR="00D21EFA" w:rsidRPr="00ED1571" w:rsidRDefault="00D21EFA" w:rsidP="00D21EFA">
            <w:pPr>
              <w:spacing w:after="0"/>
              <w:jc w:val="right"/>
              <w:rPr>
                <w:b/>
                <w:bCs/>
                <w:iCs/>
                <w:sz w:val="20"/>
                <w:szCs w:val="20"/>
              </w:rPr>
            </w:pPr>
            <w:r w:rsidRPr="00D7736D">
              <w:rPr>
                <w:rFonts w:cs="Arial"/>
                <w:iCs/>
                <w:sz w:val="20"/>
                <w:szCs w:val="20"/>
              </w:rPr>
              <w:t xml:space="preserve">Page </w:t>
            </w:r>
            <w:r>
              <w:rPr>
                <w:rFonts w:cs="Arial"/>
                <w:iCs/>
                <w:sz w:val="20"/>
                <w:szCs w:val="20"/>
              </w:rPr>
              <w:t>53</w:t>
            </w:r>
          </w:p>
        </w:tc>
        <w:tc>
          <w:tcPr>
            <w:tcW w:w="2058" w:type="dxa"/>
            <w:shd w:val="clear" w:color="auto" w:fill="auto"/>
            <w:vAlign w:val="center"/>
          </w:tcPr>
          <w:p w14:paraId="41393126" w14:textId="541B7B22" w:rsidR="00D21EFA" w:rsidRPr="00ED1571" w:rsidRDefault="00D21EFA" w:rsidP="00D21EFA">
            <w:pPr>
              <w:spacing w:after="0"/>
              <w:jc w:val="right"/>
              <w:rPr>
                <w:b/>
                <w:bCs/>
                <w:iCs/>
                <w:sz w:val="20"/>
                <w:szCs w:val="20"/>
              </w:rPr>
            </w:pPr>
            <w:r w:rsidRPr="004220AB">
              <w:rPr>
                <w:b/>
                <w:bCs/>
                <w:iCs/>
                <w:sz w:val="20"/>
                <w:szCs w:val="20"/>
              </w:rPr>
              <w:t>$</w:t>
            </w:r>
            <w:r>
              <w:t xml:space="preserve"> </w:t>
            </w:r>
            <w:r>
              <w:rPr>
                <w:b/>
                <w:bCs/>
                <w:iCs/>
                <w:sz w:val="20"/>
                <w:szCs w:val="20"/>
              </w:rPr>
              <w:t>5,681,019</w:t>
            </w:r>
          </w:p>
        </w:tc>
        <w:tc>
          <w:tcPr>
            <w:tcW w:w="2139" w:type="dxa"/>
            <w:shd w:val="clear" w:color="auto" w:fill="auto"/>
            <w:vAlign w:val="center"/>
          </w:tcPr>
          <w:p w14:paraId="4A1F63A8" w14:textId="32077090" w:rsidR="00D21EFA" w:rsidRPr="000A19C8" w:rsidRDefault="00D21EFA" w:rsidP="00D21EFA">
            <w:pPr>
              <w:spacing w:after="0"/>
              <w:jc w:val="right"/>
              <w:rPr>
                <w:b/>
                <w:bCs/>
                <w:iCs/>
                <w:sz w:val="20"/>
                <w:szCs w:val="20"/>
              </w:rPr>
            </w:pPr>
            <w:r>
              <w:rPr>
                <w:b/>
                <w:bCs/>
                <w:iCs/>
                <w:sz w:val="20"/>
                <w:szCs w:val="20"/>
              </w:rPr>
              <w:t>96%</w:t>
            </w:r>
          </w:p>
        </w:tc>
      </w:tr>
      <w:tr w:rsidR="00D91EF6" w:rsidRPr="00205DFE" w14:paraId="139A15B1" w14:textId="77777777" w:rsidTr="00854EB5">
        <w:trPr>
          <w:trHeight w:val="366"/>
        </w:trPr>
        <w:tc>
          <w:tcPr>
            <w:tcW w:w="1971" w:type="dxa"/>
            <w:vAlign w:val="center"/>
          </w:tcPr>
          <w:p w14:paraId="6CEEEFA3" w14:textId="77777777" w:rsidR="0039559D" w:rsidRPr="003F7DEE" w:rsidRDefault="0039559D" w:rsidP="0057108F">
            <w:pPr>
              <w:pStyle w:val="ListParagraph"/>
              <w:tabs>
                <w:tab w:val="left" w:pos="63"/>
              </w:tabs>
              <w:spacing w:after="0"/>
              <w:ind w:left="63"/>
              <w:contextualSpacing w:val="0"/>
              <w:rPr>
                <w:bCs/>
                <w:i/>
                <w:iCs/>
                <w:sz w:val="18"/>
                <w:szCs w:val="18"/>
              </w:rPr>
            </w:pPr>
            <w:r w:rsidRPr="003F7DEE">
              <w:rPr>
                <w:bCs/>
                <w:i/>
                <w:iCs/>
                <w:sz w:val="18"/>
                <w:szCs w:val="18"/>
              </w:rPr>
              <w:t>Add rows as relevant</w:t>
            </w:r>
          </w:p>
        </w:tc>
        <w:tc>
          <w:tcPr>
            <w:tcW w:w="2727" w:type="dxa"/>
          </w:tcPr>
          <w:p w14:paraId="256C29CA" w14:textId="59E7C73B" w:rsidR="0039559D" w:rsidRPr="00205DFE" w:rsidRDefault="0039559D" w:rsidP="0057108F">
            <w:pPr>
              <w:pStyle w:val="ListParagraph"/>
              <w:tabs>
                <w:tab w:val="left" w:pos="360"/>
              </w:tabs>
              <w:spacing w:after="0"/>
              <w:ind w:left="0" w:right="-54"/>
              <w:contextualSpacing w:val="0"/>
              <w:rPr>
                <w:b/>
                <w:bCs/>
                <w:iCs/>
                <w:sz w:val="20"/>
                <w:szCs w:val="20"/>
              </w:rPr>
            </w:pPr>
          </w:p>
        </w:tc>
        <w:tc>
          <w:tcPr>
            <w:tcW w:w="2175" w:type="dxa"/>
            <w:shd w:val="clear" w:color="auto" w:fill="auto"/>
            <w:vAlign w:val="center"/>
          </w:tcPr>
          <w:p w14:paraId="332914C7" w14:textId="77777777" w:rsidR="0039559D" w:rsidRPr="00ED1571" w:rsidRDefault="0039559D" w:rsidP="0057108F">
            <w:pPr>
              <w:spacing w:after="0"/>
              <w:ind w:right="-54"/>
              <w:jc w:val="right"/>
              <w:rPr>
                <w:b/>
                <w:bCs/>
                <w:iCs/>
                <w:sz w:val="20"/>
                <w:szCs w:val="20"/>
              </w:rPr>
            </w:pPr>
          </w:p>
        </w:tc>
        <w:tc>
          <w:tcPr>
            <w:tcW w:w="2058" w:type="dxa"/>
            <w:shd w:val="clear" w:color="auto" w:fill="auto"/>
            <w:vAlign w:val="center"/>
          </w:tcPr>
          <w:p w14:paraId="4A0EE258" w14:textId="77777777" w:rsidR="0039559D" w:rsidRPr="00ED1571" w:rsidRDefault="0039559D" w:rsidP="0057108F">
            <w:pPr>
              <w:spacing w:after="0"/>
              <w:ind w:right="-54"/>
              <w:jc w:val="right"/>
              <w:rPr>
                <w:b/>
                <w:bCs/>
                <w:iCs/>
                <w:sz w:val="20"/>
                <w:szCs w:val="20"/>
              </w:rPr>
            </w:pPr>
          </w:p>
        </w:tc>
        <w:tc>
          <w:tcPr>
            <w:tcW w:w="2139" w:type="dxa"/>
            <w:shd w:val="clear" w:color="auto" w:fill="auto"/>
            <w:vAlign w:val="center"/>
          </w:tcPr>
          <w:p w14:paraId="380E31D2" w14:textId="77777777" w:rsidR="0039559D" w:rsidRPr="000A19C8" w:rsidRDefault="0039559D" w:rsidP="0057108F">
            <w:pPr>
              <w:spacing w:after="0"/>
              <w:ind w:right="-54"/>
              <w:jc w:val="right"/>
              <w:rPr>
                <w:b/>
                <w:bCs/>
                <w:iCs/>
                <w:sz w:val="20"/>
                <w:szCs w:val="20"/>
              </w:rPr>
            </w:pPr>
          </w:p>
        </w:tc>
      </w:tr>
      <w:tr w:rsidR="00854EB5" w:rsidRPr="00205DFE" w14:paraId="6D23FF25" w14:textId="77777777" w:rsidTr="00854EB5">
        <w:trPr>
          <w:trHeight w:val="419"/>
        </w:trPr>
        <w:tc>
          <w:tcPr>
            <w:tcW w:w="6873" w:type="dxa"/>
            <w:gridSpan w:val="3"/>
            <w:shd w:val="clear" w:color="auto" w:fill="F2F2F2" w:themeFill="background1" w:themeFillShade="F2"/>
            <w:vAlign w:val="center"/>
          </w:tcPr>
          <w:p w14:paraId="193ED6F5" w14:textId="77777777" w:rsidR="003B5D8D" w:rsidRPr="00AA6294" w:rsidRDefault="003B5D8D" w:rsidP="0057108F">
            <w:pPr>
              <w:spacing w:after="0"/>
              <w:jc w:val="right"/>
              <w:rPr>
                <w:b/>
                <w:bCs/>
                <w:iCs/>
                <w:sz w:val="20"/>
                <w:szCs w:val="20"/>
              </w:rPr>
            </w:pPr>
            <w:r w:rsidRPr="00AA6294">
              <w:rPr>
                <w:b/>
                <w:bCs/>
                <w:iCs/>
                <w:sz w:val="20"/>
                <w:szCs w:val="20"/>
              </w:rPr>
              <w:t>TOTAL</w:t>
            </w:r>
            <w:r w:rsidR="00643772" w:rsidRPr="00AA6294">
              <w:rPr>
                <w:b/>
                <w:bCs/>
                <w:iCs/>
                <w:sz w:val="20"/>
                <w:szCs w:val="20"/>
              </w:rPr>
              <w:t xml:space="preserve"> AMOUNT</w:t>
            </w:r>
          </w:p>
        </w:tc>
        <w:tc>
          <w:tcPr>
            <w:tcW w:w="2058" w:type="dxa"/>
            <w:shd w:val="clear" w:color="auto" w:fill="auto"/>
            <w:vAlign w:val="center"/>
          </w:tcPr>
          <w:p w14:paraId="1AC93C90" w14:textId="6A258168" w:rsidR="003B5D8D" w:rsidRPr="00AA6294" w:rsidRDefault="00231D82" w:rsidP="0057108F">
            <w:pPr>
              <w:spacing w:after="0"/>
              <w:jc w:val="right"/>
              <w:rPr>
                <w:b/>
                <w:bCs/>
                <w:iCs/>
                <w:sz w:val="20"/>
                <w:szCs w:val="20"/>
              </w:rPr>
            </w:pPr>
            <w:r w:rsidRPr="00AA6294">
              <w:rPr>
                <w:b/>
                <w:bCs/>
                <w:iCs/>
                <w:sz w:val="20"/>
                <w:szCs w:val="20"/>
              </w:rPr>
              <w:t>$</w:t>
            </w:r>
            <w:r w:rsidR="00F824CC" w:rsidRPr="00AA6294">
              <w:rPr>
                <w:b/>
              </w:rPr>
              <w:t xml:space="preserve"> </w:t>
            </w:r>
            <w:r w:rsidR="0047478C" w:rsidRPr="00AA6294">
              <w:rPr>
                <w:b/>
                <w:bCs/>
                <w:iCs/>
                <w:sz w:val="20"/>
                <w:szCs w:val="20"/>
              </w:rPr>
              <w:t>535,247,809</w:t>
            </w:r>
          </w:p>
        </w:tc>
        <w:tc>
          <w:tcPr>
            <w:tcW w:w="2139" w:type="dxa"/>
            <w:shd w:val="clear" w:color="auto" w:fill="auto"/>
            <w:vAlign w:val="center"/>
          </w:tcPr>
          <w:p w14:paraId="352525B2" w14:textId="00C5A77A" w:rsidR="003B5D8D" w:rsidRPr="00AA6294" w:rsidRDefault="0047478C" w:rsidP="0057108F">
            <w:pPr>
              <w:spacing w:after="0"/>
              <w:jc w:val="right"/>
              <w:rPr>
                <w:b/>
                <w:bCs/>
                <w:iCs/>
                <w:sz w:val="20"/>
                <w:szCs w:val="20"/>
              </w:rPr>
            </w:pPr>
            <w:r w:rsidRPr="00AA6294">
              <w:rPr>
                <w:b/>
                <w:bCs/>
                <w:iCs/>
                <w:sz w:val="20"/>
                <w:szCs w:val="20"/>
              </w:rPr>
              <w:t>42</w:t>
            </w:r>
            <w:r w:rsidR="00231D82" w:rsidRPr="00AA6294">
              <w:rPr>
                <w:b/>
                <w:bCs/>
                <w:iCs/>
                <w:sz w:val="20"/>
                <w:szCs w:val="20"/>
              </w:rPr>
              <w:t>%</w:t>
            </w:r>
          </w:p>
        </w:tc>
      </w:tr>
    </w:tbl>
    <w:p w14:paraId="7C901D03" w14:textId="77777777" w:rsidR="00433594" w:rsidRDefault="00433594" w:rsidP="0057108F">
      <w:pPr>
        <w:spacing w:after="0" w:line="240" w:lineRule="auto"/>
        <w:jc w:val="both"/>
        <w:rPr>
          <w:bCs/>
          <w:sz w:val="20"/>
          <w:szCs w:val="20"/>
        </w:rPr>
      </w:pPr>
    </w:p>
    <w:p w14:paraId="33194F02" w14:textId="63D8DC06" w:rsidR="002D354E" w:rsidRDefault="002D354E" w:rsidP="00141FFC">
      <w:pPr>
        <w:pStyle w:val="Heading2"/>
        <w:numPr>
          <w:ilvl w:val="1"/>
          <w:numId w:val="7"/>
        </w:numPr>
        <w:spacing w:after="0"/>
      </w:pPr>
      <w:bookmarkStart w:id="9" w:name="_Hlk9768647"/>
      <w:bookmarkStart w:id="10" w:name="_Hlk10033722"/>
      <w:r>
        <w:t xml:space="preserve">Funding Request </w:t>
      </w:r>
      <w:r w:rsidR="00BA2893">
        <w:t xml:space="preserve">to the Global Fund </w:t>
      </w:r>
    </w:p>
    <w:bookmarkEnd w:id="9"/>
    <w:p w14:paraId="105D44B8" w14:textId="77777777" w:rsidR="0057108F" w:rsidRDefault="0057108F" w:rsidP="0057108F">
      <w:pPr>
        <w:spacing w:after="0"/>
        <w:rPr>
          <w:rFonts w:cs="Arial"/>
        </w:rPr>
      </w:pPr>
    </w:p>
    <w:p w14:paraId="582A3D56" w14:textId="4F0510AB" w:rsidR="00E60417" w:rsidRPr="000B6C8E" w:rsidRDefault="00AD16E6" w:rsidP="0057108F">
      <w:pPr>
        <w:spacing w:after="0"/>
        <w:rPr>
          <w:rFonts w:cs="Arial"/>
        </w:rPr>
      </w:pPr>
      <w:r w:rsidRPr="000B6C8E">
        <w:rPr>
          <w:rFonts w:cs="Arial"/>
        </w:rPr>
        <w:t>Fill in questions a) and/or b)</w:t>
      </w:r>
      <w:r w:rsidR="00E60417" w:rsidRPr="000B6C8E">
        <w:rPr>
          <w:rFonts w:cs="Arial"/>
        </w:rPr>
        <w:t xml:space="preserve"> as relevant for your country funding request</w:t>
      </w:r>
      <w:r w:rsidR="00543B93" w:rsidRPr="000B6C8E">
        <w:rPr>
          <w:rFonts w:cs="Arial"/>
        </w:rPr>
        <w:t xml:space="preserve"> approach(es)</w:t>
      </w:r>
      <w:r w:rsidR="00E60417" w:rsidRPr="000B6C8E">
        <w:rPr>
          <w:rFonts w:cs="Arial"/>
        </w:rPr>
        <w:t xml:space="preserve">: </w:t>
      </w:r>
    </w:p>
    <w:p w14:paraId="637D6130" w14:textId="2559D1F3" w:rsidR="00E60417" w:rsidRDefault="00AD16E6" w:rsidP="0057108F">
      <w:pPr>
        <w:spacing w:after="0"/>
        <w:rPr>
          <w:rFonts w:cs="Arial"/>
          <w:bCs/>
          <w:iCs/>
          <w:u w:val="single"/>
        </w:rPr>
      </w:pPr>
      <w:r w:rsidRPr="00412A61">
        <w:rPr>
          <w:rFonts w:cs="Arial"/>
          <w:b/>
        </w:rPr>
        <w:t>a</w:t>
      </w:r>
      <w:r w:rsidR="009A672F" w:rsidRPr="00412A61">
        <w:rPr>
          <w:rFonts w:cs="Arial"/>
          <w:b/>
        </w:rPr>
        <w:t>)</w:t>
      </w:r>
      <w:r w:rsidR="009A672F">
        <w:rPr>
          <w:rFonts w:cs="Arial"/>
        </w:rPr>
        <w:t xml:space="preserve"> </w:t>
      </w:r>
      <w:r w:rsidR="00E60417">
        <w:rPr>
          <w:rFonts w:cs="Arial"/>
          <w:bCs/>
          <w:iCs/>
        </w:rPr>
        <w:t>f</w:t>
      </w:r>
      <w:r w:rsidR="00E60417" w:rsidRPr="00E60417">
        <w:rPr>
          <w:rFonts w:cs="Arial"/>
          <w:bCs/>
          <w:iCs/>
        </w:rPr>
        <w:t xml:space="preserve">or </w:t>
      </w:r>
      <w:r w:rsidR="000663BB">
        <w:rPr>
          <w:rFonts w:cs="Arial"/>
          <w:bCs/>
          <w:iCs/>
        </w:rPr>
        <w:t>f</w:t>
      </w:r>
      <w:r w:rsidR="00E60417" w:rsidRPr="00E60417">
        <w:rPr>
          <w:rFonts w:cs="Arial"/>
          <w:bCs/>
          <w:iCs/>
        </w:rPr>
        <w:t xml:space="preserve">unding </w:t>
      </w:r>
      <w:r w:rsidR="000663BB">
        <w:rPr>
          <w:rFonts w:cs="Arial"/>
          <w:bCs/>
          <w:iCs/>
        </w:rPr>
        <w:t>r</w:t>
      </w:r>
      <w:r w:rsidR="00E60417" w:rsidRPr="00E60417">
        <w:rPr>
          <w:rFonts w:cs="Arial"/>
          <w:bCs/>
          <w:iCs/>
        </w:rPr>
        <w:t>eques</w:t>
      </w:r>
      <w:r w:rsidR="00B20EC2">
        <w:rPr>
          <w:rFonts w:cs="Arial"/>
          <w:bCs/>
          <w:iCs/>
        </w:rPr>
        <w:t>ts using</w:t>
      </w:r>
      <w:r w:rsidR="00E60417" w:rsidRPr="00E60417">
        <w:rPr>
          <w:rFonts w:cs="Arial"/>
          <w:bCs/>
          <w:iCs/>
        </w:rPr>
        <w:t xml:space="preserve"> the traditional,</w:t>
      </w:r>
      <w:r w:rsidR="005160ED">
        <w:rPr>
          <w:rFonts w:cs="Arial"/>
          <w:bCs/>
          <w:iCs/>
        </w:rPr>
        <w:t xml:space="preserve"> </w:t>
      </w:r>
      <w:r w:rsidR="005160ED" w:rsidRPr="005160ED">
        <w:rPr>
          <w:rFonts w:cs="Arial"/>
          <w:bCs/>
          <w:iCs/>
          <w:u w:val="single"/>
        </w:rPr>
        <w:t>P</w:t>
      </w:r>
      <w:r w:rsidR="00BA4F1B">
        <w:rPr>
          <w:rFonts w:cs="Arial"/>
          <w:bCs/>
          <w:iCs/>
          <w:u w:val="single"/>
        </w:rPr>
        <w:t xml:space="preserve">erformance </w:t>
      </w:r>
      <w:r w:rsidR="000663BB">
        <w:rPr>
          <w:rFonts w:cs="Arial"/>
          <w:bCs/>
          <w:iCs/>
          <w:u w:val="single"/>
        </w:rPr>
        <w:t>B</w:t>
      </w:r>
      <w:r w:rsidR="00BA4F1B">
        <w:rPr>
          <w:rFonts w:cs="Arial"/>
          <w:bCs/>
          <w:iCs/>
          <w:u w:val="single"/>
        </w:rPr>
        <w:t xml:space="preserve">ased </w:t>
      </w:r>
      <w:r w:rsidR="000663BB">
        <w:rPr>
          <w:rFonts w:cs="Arial"/>
          <w:bCs/>
          <w:iCs/>
          <w:u w:val="single"/>
        </w:rPr>
        <w:t>F</w:t>
      </w:r>
      <w:r w:rsidR="00BA4F1B">
        <w:rPr>
          <w:rFonts w:cs="Arial"/>
          <w:bCs/>
          <w:iCs/>
          <w:u w:val="single"/>
        </w:rPr>
        <w:t xml:space="preserve">unding </w:t>
      </w:r>
      <w:r w:rsidR="00543B93">
        <w:rPr>
          <w:rFonts w:cs="Arial"/>
          <w:bCs/>
          <w:iCs/>
          <w:u w:val="single"/>
        </w:rPr>
        <w:t>approach</w:t>
      </w:r>
    </w:p>
    <w:p w14:paraId="7D6BA80E" w14:textId="75815C2E" w:rsidR="00E60417" w:rsidRDefault="00AD16E6" w:rsidP="0057108F">
      <w:pPr>
        <w:spacing w:after="0"/>
        <w:rPr>
          <w:rFonts w:cs="Arial"/>
          <w:bCs/>
          <w:iCs/>
          <w:u w:val="single"/>
        </w:rPr>
      </w:pPr>
      <w:r w:rsidRPr="00412A61">
        <w:rPr>
          <w:rFonts w:cs="Arial"/>
          <w:b/>
          <w:bCs/>
          <w:iCs/>
        </w:rPr>
        <w:t>b</w:t>
      </w:r>
      <w:r w:rsidR="009A672F" w:rsidRPr="00412A61">
        <w:rPr>
          <w:rFonts w:cs="Arial"/>
          <w:b/>
          <w:bCs/>
          <w:iCs/>
        </w:rPr>
        <w:t>)</w:t>
      </w:r>
      <w:r w:rsidR="00E60417" w:rsidRPr="00E60417">
        <w:rPr>
          <w:rFonts w:cs="Arial"/>
          <w:bCs/>
          <w:iCs/>
        </w:rPr>
        <w:t xml:space="preserve"> </w:t>
      </w:r>
      <w:r w:rsidR="00E60417">
        <w:rPr>
          <w:rFonts w:cs="Arial"/>
          <w:bCs/>
          <w:iCs/>
        </w:rPr>
        <w:t>f</w:t>
      </w:r>
      <w:r w:rsidR="00E60417" w:rsidRPr="00E60417">
        <w:rPr>
          <w:rFonts w:cs="Arial"/>
          <w:bCs/>
          <w:iCs/>
        </w:rPr>
        <w:t xml:space="preserve">or </w:t>
      </w:r>
      <w:r w:rsidR="000663BB">
        <w:rPr>
          <w:rFonts w:cs="Arial"/>
          <w:bCs/>
          <w:iCs/>
        </w:rPr>
        <w:t>f</w:t>
      </w:r>
      <w:r w:rsidR="00E60417" w:rsidRPr="00E60417">
        <w:rPr>
          <w:rFonts w:cs="Arial"/>
          <w:bCs/>
          <w:iCs/>
        </w:rPr>
        <w:t xml:space="preserve">unding </w:t>
      </w:r>
      <w:r w:rsidR="000663BB">
        <w:rPr>
          <w:rFonts w:cs="Arial"/>
          <w:bCs/>
          <w:iCs/>
        </w:rPr>
        <w:t>r</w:t>
      </w:r>
      <w:r w:rsidR="00B20EC2">
        <w:rPr>
          <w:rFonts w:cs="Arial"/>
          <w:bCs/>
          <w:iCs/>
        </w:rPr>
        <w:t xml:space="preserve">equests using </w:t>
      </w:r>
      <w:r w:rsidR="00E60417" w:rsidRPr="00E60417">
        <w:rPr>
          <w:rFonts w:cs="Arial"/>
          <w:bCs/>
          <w:iCs/>
        </w:rPr>
        <w:t xml:space="preserve">the </w:t>
      </w:r>
      <w:r w:rsidR="00E60417" w:rsidRPr="00E60417">
        <w:rPr>
          <w:rFonts w:cs="Arial"/>
          <w:bCs/>
          <w:iCs/>
          <w:u w:val="single"/>
        </w:rPr>
        <w:t xml:space="preserve">Payment for Results </w:t>
      </w:r>
      <w:r w:rsidR="00F26815">
        <w:rPr>
          <w:rFonts w:cs="Arial"/>
          <w:bCs/>
          <w:iCs/>
          <w:u w:val="single"/>
        </w:rPr>
        <w:t>modality</w:t>
      </w:r>
    </w:p>
    <w:p w14:paraId="413796F1" w14:textId="271FF1A0" w:rsidR="005160ED" w:rsidRPr="00E60417" w:rsidRDefault="005160ED" w:rsidP="0057108F">
      <w:pPr>
        <w:spacing w:after="0"/>
        <w:jc w:val="both"/>
        <w:rPr>
          <w:rFonts w:cs="Arial"/>
          <w:bCs/>
          <w:iCs/>
        </w:rPr>
      </w:pPr>
    </w:p>
    <w:p w14:paraId="0760DF9A" w14:textId="081A86B0" w:rsidR="00E60417" w:rsidRDefault="000663BB" w:rsidP="0057108F">
      <w:pPr>
        <w:spacing w:after="0"/>
        <w:rPr>
          <w:rFonts w:cs="Arial"/>
        </w:rPr>
      </w:pPr>
      <w:r>
        <w:rPr>
          <w:rFonts w:cs="Arial"/>
        </w:rPr>
        <w:t>All applicants should fill in q</w:t>
      </w:r>
      <w:r w:rsidR="00AD16E6">
        <w:rPr>
          <w:rFonts w:cs="Arial"/>
        </w:rPr>
        <w:t xml:space="preserve">uestions </w:t>
      </w:r>
      <w:r w:rsidR="00AD16E6" w:rsidRPr="00292D16">
        <w:rPr>
          <w:rFonts w:cs="Arial"/>
          <w:b/>
        </w:rPr>
        <w:t>c</w:t>
      </w:r>
      <w:r w:rsidR="00292D16" w:rsidRPr="00292D16">
        <w:rPr>
          <w:rFonts w:cs="Arial"/>
          <w:b/>
        </w:rPr>
        <w:t>)</w:t>
      </w:r>
      <w:r w:rsidR="00F705F5">
        <w:rPr>
          <w:rFonts w:cs="Arial"/>
        </w:rPr>
        <w:t xml:space="preserve">, </w:t>
      </w:r>
      <w:r w:rsidR="00F705F5" w:rsidRPr="00292D16">
        <w:rPr>
          <w:rFonts w:cs="Arial"/>
          <w:b/>
        </w:rPr>
        <w:t>d</w:t>
      </w:r>
      <w:r w:rsidR="00292D16" w:rsidRPr="00292D16">
        <w:rPr>
          <w:rFonts w:cs="Arial"/>
          <w:b/>
        </w:rPr>
        <w:t>)</w:t>
      </w:r>
      <w:r w:rsidR="00F705F5">
        <w:rPr>
          <w:rFonts w:cs="Arial"/>
        </w:rPr>
        <w:t xml:space="preserve"> and </w:t>
      </w:r>
      <w:r w:rsidR="00F705F5" w:rsidRPr="00292D16">
        <w:rPr>
          <w:rFonts w:cs="Arial"/>
          <w:b/>
        </w:rPr>
        <w:t>e</w:t>
      </w:r>
      <w:r w:rsidR="00292D16" w:rsidRPr="00292D16">
        <w:rPr>
          <w:rFonts w:cs="Arial"/>
          <w:b/>
        </w:rPr>
        <w:t>)</w:t>
      </w:r>
      <w:r w:rsidR="005160ED">
        <w:rPr>
          <w:rFonts w:cs="Arial"/>
        </w:rPr>
        <w:t xml:space="preserve">. </w:t>
      </w:r>
    </w:p>
    <w:p w14:paraId="79C44760" w14:textId="1A0E854E" w:rsidR="00433594" w:rsidRDefault="00433594" w:rsidP="0057108F">
      <w:pPr>
        <w:spacing w:after="0"/>
        <w:rPr>
          <w:rFonts w:cs="Arial"/>
        </w:rPr>
      </w:pPr>
    </w:p>
    <w:p w14:paraId="7096BD0C" w14:textId="4C68A2B0" w:rsidR="009A5D55" w:rsidRPr="00231D82" w:rsidRDefault="00F705F5" w:rsidP="00141FFC">
      <w:pPr>
        <w:pStyle w:val="ListParagraph"/>
        <w:numPr>
          <w:ilvl w:val="0"/>
          <w:numId w:val="10"/>
        </w:numPr>
        <w:spacing w:after="0"/>
        <w:rPr>
          <w:rFonts w:eastAsia="Calibri" w:cs="Times New Roman"/>
          <w:bCs/>
          <w:iCs/>
        </w:rPr>
      </w:pPr>
      <w:bookmarkStart w:id="11" w:name="_Hlk9881334"/>
      <w:r w:rsidRPr="00231D82">
        <w:rPr>
          <w:rFonts w:eastAsia="Calibri" w:cs="Times New Roman"/>
          <w:bCs/>
          <w:iCs/>
        </w:rPr>
        <w:t xml:space="preserve">For </w:t>
      </w:r>
      <w:r w:rsidR="000663BB" w:rsidRPr="00231D82">
        <w:rPr>
          <w:rFonts w:eastAsia="Calibri" w:cs="Times New Roman"/>
          <w:bCs/>
          <w:iCs/>
        </w:rPr>
        <w:t xml:space="preserve">a </w:t>
      </w:r>
      <w:r w:rsidRPr="00231D82">
        <w:rPr>
          <w:rFonts w:eastAsia="Calibri" w:cs="Times New Roman"/>
          <w:bCs/>
          <w:iCs/>
        </w:rPr>
        <w:t xml:space="preserve">funding request </w:t>
      </w:r>
      <w:r w:rsidR="00B20EC2" w:rsidRPr="00231D82">
        <w:rPr>
          <w:rFonts w:eastAsia="Calibri" w:cs="Times New Roman"/>
          <w:bCs/>
          <w:iCs/>
        </w:rPr>
        <w:t>using</w:t>
      </w:r>
      <w:r w:rsidR="00EC5320" w:rsidRPr="00231D82">
        <w:rPr>
          <w:rFonts w:eastAsia="Calibri" w:cs="Times New Roman"/>
          <w:bCs/>
          <w:iCs/>
        </w:rPr>
        <w:t xml:space="preserve"> the </w:t>
      </w:r>
      <w:r w:rsidR="00E60417" w:rsidRPr="00231D82">
        <w:rPr>
          <w:rFonts w:eastAsia="Calibri" w:cs="Times New Roman"/>
          <w:bCs/>
          <w:iCs/>
          <w:u w:val="single"/>
        </w:rPr>
        <w:t>P</w:t>
      </w:r>
      <w:r w:rsidR="00AE2C5F" w:rsidRPr="00231D82">
        <w:rPr>
          <w:rFonts w:eastAsia="Calibri" w:cs="Times New Roman"/>
          <w:bCs/>
          <w:iCs/>
          <w:u w:val="single"/>
        </w:rPr>
        <w:t>erformance Based Fundin</w:t>
      </w:r>
      <w:r w:rsidR="00BA4F1B" w:rsidRPr="00231D82">
        <w:rPr>
          <w:rFonts w:eastAsia="Calibri" w:cs="Times New Roman"/>
          <w:bCs/>
          <w:iCs/>
          <w:u w:val="single"/>
        </w:rPr>
        <w:t>g</w:t>
      </w:r>
      <w:r w:rsidR="00543B93" w:rsidRPr="00231D82">
        <w:rPr>
          <w:rFonts w:eastAsia="Calibri" w:cs="Times New Roman"/>
          <w:bCs/>
          <w:iCs/>
        </w:rPr>
        <w:t xml:space="preserve"> approach</w:t>
      </w:r>
      <w:r w:rsidRPr="00231D82">
        <w:rPr>
          <w:rFonts w:eastAsia="Calibri" w:cs="Times New Roman"/>
          <w:bCs/>
          <w:iCs/>
        </w:rPr>
        <w:t>:</w:t>
      </w:r>
    </w:p>
    <w:bookmarkEnd w:id="10"/>
    <w:bookmarkEnd w:id="11"/>
    <w:p w14:paraId="17EF3B87" w14:textId="411D0F32" w:rsidR="00662490" w:rsidRPr="00346E26" w:rsidRDefault="00662490" w:rsidP="0057108F">
      <w:pPr>
        <w:spacing w:after="0"/>
        <w:rPr>
          <w:rFonts w:cs="Arial"/>
          <w:bCs/>
          <w:iCs/>
        </w:rPr>
      </w:pPr>
      <w:r w:rsidRPr="00346E26">
        <w:rPr>
          <w:rFonts w:eastAsia="Calibri" w:cs="Times New Roman"/>
          <w:bCs/>
          <w:iCs/>
        </w:rPr>
        <w:lastRenderedPageBreak/>
        <w:t xml:space="preserve">Use the table below to </w:t>
      </w:r>
      <w:r w:rsidR="002D6A7E" w:rsidRPr="00346E26">
        <w:rPr>
          <w:rFonts w:eastAsia="Calibri" w:cs="Times New Roman"/>
          <w:bCs/>
          <w:iCs/>
        </w:rPr>
        <w:t xml:space="preserve">list and </w:t>
      </w:r>
      <w:r w:rsidRPr="00346E26">
        <w:rPr>
          <w:rFonts w:eastAsia="Calibri" w:cs="Times New Roman"/>
          <w:bCs/>
          <w:iCs/>
        </w:rPr>
        <w:t xml:space="preserve">provide </w:t>
      </w:r>
      <w:r w:rsidR="009A672F" w:rsidRPr="00346E26">
        <w:rPr>
          <w:rFonts w:eastAsia="Calibri" w:cs="Times New Roman"/>
          <w:bCs/>
          <w:iCs/>
        </w:rPr>
        <w:t xml:space="preserve">the </w:t>
      </w:r>
      <w:r w:rsidRPr="00346E26">
        <w:rPr>
          <w:rFonts w:eastAsia="Calibri" w:cs="Times New Roman"/>
          <w:bCs/>
          <w:iCs/>
        </w:rPr>
        <w:t xml:space="preserve">rationale for </w:t>
      </w:r>
      <w:r w:rsidRPr="00346E26">
        <w:rPr>
          <w:rFonts w:eastAsia="Calibri" w:cs="Times New Roman"/>
          <w:b/>
          <w:bCs/>
          <w:iCs/>
          <w:u w:val="single"/>
        </w:rPr>
        <w:t>each</w:t>
      </w:r>
      <w:r w:rsidR="009566DB" w:rsidRPr="00346E26">
        <w:rPr>
          <w:rFonts w:eastAsia="Calibri" w:cs="Times New Roman"/>
          <w:b/>
          <w:bCs/>
          <w:iCs/>
          <w:u w:val="single"/>
        </w:rPr>
        <w:t xml:space="preserve"> </w:t>
      </w:r>
      <w:r w:rsidRPr="00346E26">
        <w:rPr>
          <w:rFonts w:eastAsia="Calibri" w:cs="Times New Roman"/>
          <w:b/>
          <w:bCs/>
          <w:iCs/>
          <w:u w:val="single"/>
        </w:rPr>
        <w:t>intervention</w:t>
      </w:r>
      <w:r w:rsidRPr="00346E26">
        <w:rPr>
          <w:rFonts w:eastAsia="Calibri" w:cs="Times New Roman"/>
          <w:bCs/>
          <w:iCs/>
        </w:rPr>
        <w:t xml:space="preserve"> prioritize</w:t>
      </w:r>
      <w:r w:rsidR="00777A0A" w:rsidRPr="00346E26">
        <w:rPr>
          <w:rFonts w:eastAsia="Calibri" w:cs="Times New Roman"/>
          <w:bCs/>
          <w:iCs/>
        </w:rPr>
        <w:t xml:space="preserve">d for Global Fund </w:t>
      </w:r>
      <w:r w:rsidR="000663BB" w:rsidRPr="00346E26">
        <w:rPr>
          <w:rFonts w:eastAsia="Calibri" w:cs="Times New Roman"/>
          <w:bCs/>
          <w:iCs/>
        </w:rPr>
        <w:t>funding</w:t>
      </w:r>
      <w:r w:rsidRPr="00346E26">
        <w:rPr>
          <w:rFonts w:eastAsia="Calibri" w:cs="Times New Roman"/>
          <w:bCs/>
          <w:iCs/>
        </w:rPr>
        <w:t xml:space="preserve">. </w:t>
      </w:r>
    </w:p>
    <w:p w14:paraId="4FCB6BD4" w14:textId="60CDFC0B" w:rsidR="00662490" w:rsidRDefault="00662490" w:rsidP="0057108F">
      <w:pPr>
        <w:spacing w:after="0"/>
        <w:rPr>
          <w:rFonts w:cs="Arial"/>
          <w:bCs/>
          <w:iCs/>
        </w:rPr>
      </w:pPr>
    </w:p>
    <w:tbl>
      <w:tblPr>
        <w:tblStyle w:val="TableGrid"/>
        <w:tblW w:w="10795" w:type="dxa"/>
        <w:jc w:val="center"/>
        <w:tblLook w:val="04A0" w:firstRow="1" w:lastRow="0" w:firstColumn="1" w:lastColumn="0" w:noHBand="0" w:noVBand="1"/>
      </w:tblPr>
      <w:tblGrid>
        <w:gridCol w:w="10795"/>
      </w:tblGrid>
      <w:tr w:rsidR="000B6C8E" w14:paraId="6C0E8735" w14:textId="77777777" w:rsidTr="00292D16">
        <w:trPr>
          <w:jc w:val="center"/>
        </w:trPr>
        <w:tc>
          <w:tcPr>
            <w:tcW w:w="10795" w:type="dxa"/>
          </w:tcPr>
          <w:p w14:paraId="61CC0CA9" w14:textId="3BB81349" w:rsidR="000B6C8E" w:rsidRPr="00FA2A25" w:rsidRDefault="000B6C8E" w:rsidP="0057108F">
            <w:pPr>
              <w:rPr>
                <w:i/>
              </w:rPr>
            </w:pPr>
            <w:r w:rsidRPr="004A6887">
              <w:rPr>
                <w:b/>
              </w:rPr>
              <w:t xml:space="preserve">COMPONENT: </w:t>
            </w:r>
            <w:r>
              <w:rPr>
                <w:i/>
              </w:rPr>
              <w:t>(</w:t>
            </w:r>
            <w:r w:rsidR="000663BB">
              <w:rPr>
                <w:i/>
              </w:rPr>
              <w:t>I</w:t>
            </w:r>
            <w:r w:rsidRPr="004A6887">
              <w:rPr>
                <w:i/>
              </w:rPr>
              <w:t xml:space="preserve">ndicate component </w:t>
            </w:r>
            <w:r>
              <w:rPr>
                <w:i/>
              </w:rPr>
              <w:t>here.)</w:t>
            </w:r>
          </w:p>
        </w:tc>
      </w:tr>
    </w:tbl>
    <w:p w14:paraId="57B7C5D4" w14:textId="77777777" w:rsidR="003B3C4D" w:rsidRPr="002D354E" w:rsidRDefault="003B3C4D" w:rsidP="0057108F">
      <w:pPr>
        <w:spacing w:after="0"/>
        <w:jc w:val="both"/>
        <w:rPr>
          <w:rFonts w:cs="Arial"/>
          <w:bCs/>
          <w:iCs/>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11"/>
        <w:gridCol w:w="4385"/>
        <w:gridCol w:w="4543"/>
      </w:tblGrid>
      <w:tr w:rsidR="00777A0A" w:rsidRPr="00205DFE" w14:paraId="2D3C4933" w14:textId="77777777" w:rsidTr="00292D16">
        <w:trPr>
          <w:trHeight w:val="269"/>
          <w:jc w:val="center"/>
        </w:trPr>
        <w:tc>
          <w:tcPr>
            <w:tcW w:w="10739" w:type="dxa"/>
            <w:gridSpan w:val="3"/>
            <w:shd w:val="clear" w:color="auto" w:fill="F9FBFD" w:themeFill="text2" w:themeFillTint="33"/>
            <w:vAlign w:val="center"/>
          </w:tcPr>
          <w:p w14:paraId="3B970F8C" w14:textId="596AA7B6" w:rsidR="00777A0A" w:rsidRDefault="00777A0A" w:rsidP="0057108F">
            <w:pPr>
              <w:spacing w:after="0"/>
              <w:rPr>
                <w:iCs/>
                <w:sz w:val="20"/>
                <w:szCs w:val="20"/>
              </w:rPr>
            </w:pPr>
            <w:r>
              <w:rPr>
                <w:sz w:val="20"/>
                <w:szCs w:val="20"/>
              </w:rPr>
              <w:t>NSP Strategic Area</w:t>
            </w:r>
            <w:r w:rsidR="00482AF1">
              <w:rPr>
                <w:sz w:val="20"/>
                <w:szCs w:val="20"/>
              </w:rPr>
              <w:t xml:space="preserve"> #</w:t>
            </w:r>
            <w:r>
              <w:rPr>
                <w:sz w:val="20"/>
                <w:szCs w:val="20"/>
              </w:rPr>
              <w:t>:</w:t>
            </w:r>
            <w:r w:rsidR="000636C3">
              <w:t xml:space="preserve"> </w:t>
            </w:r>
            <w:r w:rsidR="009D2777" w:rsidRPr="009D2777">
              <w:rPr>
                <w:sz w:val="20"/>
                <w:szCs w:val="20"/>
              </w:rPr>
              <w:t>Case finding, diagnosis and treatment of non-MDR, adult cases</w:t>
            </w:r>
          </w:p>
        </w:tc>
      </w:tr>
      <w:tr w:rsidR="00662490" w:rsidRPr="00205DFE" w14:paraId="751CDAC1" w14:textId="77777777" w:rsidTr="00B1113E">
        <w:trPr>
          <w:trHeight w:val="736"/>
          <w:jc w:val="center"/>
        </w:trPr>
        <w:tc>
          <w:tcPr>
            <w:tcW w:w="1811" w:type="dxa"/>
            <w:shd w:val="clear" w:color="auto" w:fill="F9FBFD" w:themeFill="text2" w:themeFillTint="33"/>
            <w:vAlign w:val="center"/>
          </w:tcPr>
          <w:p w14:paraId="49F49049" w14:textId="1DE28224" w:rsidR="00662490" w:rsidRPr="00205DFE" w:rsidRDefault="00777A0A" w:rsidP="0057108F">
            <w:pPr>
              <w:spacing w:after="0"/>
              <w:jc w:val="center"/>
              <w:rPr>
                <w:sz w:val="20"/>
                <w:szCs w:val="20"/>
              </w:rPr>
            </w:pPr>
            <w:r>
              <w:rPr>
                <w:sz w:val="20"/>
                <w:szCs w:val="20"/>
              </w:rPr>
              <w:t>I</w:t>
            </w:r>
            <w:r w:rsidR="00662490">
              <w:rPr>
                <w:sz w:val="20"/>
                <w:szCs w:val="20"/>
              </w:rPr>
              <w:t>ntervention</w:t>
            </w:r>
          </w:p>
        </w:tc>
        <w:tc>
          <w:tcPr>
            <w:tcW w:w="4385" w:type="dxa"/>
            <w:shd w:val="clear" w:color="auto" w:fill="F9FBFD" w:themeFill="text2" w:themeFillTint="33"/>
            <w:vAlign w:val="center"/>
          </w:tcPr>
          <w:p w14:paraId="46502C6B" w14:textId="5B54DB2D" w:rsidR="00662490" w:rsidRPr="00205DFE" w:rsidRDefault="00662490" w:rsidP="0057108F">
            <w:pPr>
              <w:spacing w:after="0"/>
              <w:jc w:val="center"/>
              <w:rPr>
                <w:iCs/>
                <w:sz w:val="20"/>
                <w:szCs w:val="20"/>
              </w:rPr>
            </w:pPr>
            <w:r>
              <w:rPr>
                <w:sz w:val="20"/>
                <w:szCs w:val="20"/>
              </w:rPr>
              <w:t>R</w:t>
            </w:r>
            <w:r w:rsidRPr="00283CBB">
              <w:rPr>
                <w:sz w:val="20"/>
                <w:szCs w:val="20"/>
              </w:rPr>
              <w:t>ationale for prioritization</w:t>
            </w:r>
            <w:r>
              <w:rPr>
                <w:sz w:val="20"/>
                <w:szCs w:val="20"/>
              </w:rPr>
              <w:t xml:space="preserve"> for </w:t>
            </w:r>
            <w:r w:rsidR="009A672F">
              <w:rPr>
                <w:sz w:val="20"/>
                <w:szCs w:val="20"/>
              </w:rPr>
              <w:t xml:space="preserve">Global Fund </w:t>
            </w:r>
            <w:r>
              <w:rPr>
                <w:sz w:val="20"/>
                <w:szCs w:val="20"/>
              </w:rPr>
              <w:t xml:space="preserve">funding </w:t>
            </w:r>
          </w:p>
        </w:tc>
        <w:tc>
          <w:tcPr>
            <w:tcW w:w="4543" w:type="dxa"/>
            <w:shd w:val="clear" w:color="auto" w:fill="F9FBFD" w:themeFill="text2" w:themeFillTint="33"/>
            <w:vAlign w:val="center"/>
          </w:tcPr>
          <w:p w14:paraId="0CC4CDEE" w14:textId="2D119486" w:rsidR="00662490" w:rsidRPr="00205DFE" w:rsidRDefault="00662490" w:rsidP="0057108F">
            <w:pPr>
              <w:spacing w:after="0"/>
              <w:jc w:val="center"/>
              <w:rPr>
                <w:iCs/>
                <w:sz w:val="20"/>
                <w:szCs w:val="20"/>
              </w:rPr>
            </w:pPr>
            <w:r>
              <w:rPr>
                <w:iCs/>
                <w:sz w:val="20"/>
                <w:szCs w:val="20"/>
              </w:rPr>
              <w:t xml:space="preserve">Amount requested </w:t>
            </w:r>
            <w:r w:rsidR="00A07B67">
              <w:rPr>
                <w:iCs/>
                <w:sz w:val="20"/>
                <w:szCs w:val="20"/>
              </w:rPr>
              <w:br/>
            </w:r>
            <w:r>
              <w:rPr>
                <w:iCs/>
                <w:sz w:val="20"/>
                <w:szCs w:val="20"/>
              </w:rPr>
              <w:t xml:space="preserve">from the Global Fund </w:t>
            </w:r>
            <w:r w:rsidR="009566DB">
              <w:rPr>
                <w:iCs/>
                <w:sz w:val="20"/>
                <w:szCs w:val="20"/>
              </w:rPr>
              <w:br/>
            </w:r>
          </w:p>
        </w:tc>
      </w:tr>
      <w:tr w:rsidR="00B1113E" w:rsidRPr="00205DFE" w14:paraId="6DAE8A37" w14:textId="77777777" w:rsidTr="00B1113E">
        <w:trPr>
          <w:trHeight w:val="373"/>
          <w:jc w:val="center"/>
        </w:trPr>
        <w:tc>
          <w:tcPr>
            <w:tcW w:w="1811" w:type="dxa"/>
          </w:tcPr>
          <w:p w14:paraId="6F012043" w14:textId="6A113FF9" w:rsidR="00B1113E" w:rsidRPr="00205DFE" w:rsidRDefault="00B1113E" w:rsidP="00B1113E">
            <w:pPr>
              <w:pStyle w:val="ListParagraph"/>
              <w:tabs>
                <w:tab w:val="left" w:pos="63"/>
              </w:tabs>
              <w:spacing w:after="0"/>
              <w:ind w:left="63" w:right="-54"/>
              <w:contextualSpacing w:val="0"/>
              <w:rPr>
                <w:b/>
                <w:bCs/>
                <w:iCs/>
                <w:sz w:val="20"/>
                <w:szCs w:val="20"/>
              </w:rPr>
            </w:pPr>
            <w:r w:rsidRPr="00084FA0">
              <w:t>Countrywide expansion of the new diagnostic algorithm</w:t>
            </w:r>
          </w:p>
        </w:tc>
        <w:tc>
          <w:tcPr>
            <w:tcW w:w="4385" w:type="dxa"/>
          </w:tcPr>
          <w:p w14:paraId="193F97D0" w14:textId="27A6EF9B" w:rsidR="00B1113E" w:rsidRPr="00205DFE" w:rsidRDefault="00B1113E" w:rsidP="00B1113E">
            <w:pPr>
              <w:pStyle w:val="ListParagraph"/>
              <w:tabs>
                <w:tab w:val="left" w:pos="338"/>
              </w:tabs>
              <w:spacing w:after="0"/>
              <w:ind w:left="0" w:right="-54"/>
              <w:rPr>
                <w:b/>
                <w:bCs/>
                <w:iCs/>
                <w:sz w:val="20"/>
                <w:szCs w:val="20"/>
              </w:rPr>
            </w:pPr>
            <w:r>
              <w:rPr>
                <w:b/>
                <w:bCs/>
                <w:iCs/>
                <w:sz w:val="20"/>
                <w:szCs w:val="20"/>
              </w:rPr>
              <w:t xml:space="preserve">During the previous funding cycle, the NTP Bangladesh has introduced a new diagnostic algorithm based on </w:t>
            </w:r>
            <w:proofErr w:type="gramStart"/>
            <w:r>
              <w:rPr>
                <w:b/>
                <w:bCs/>
                <w:iCs/>
                <w:sz w:val="20"/>
                <w:szCs w:val="20"/>
              </w:rPr>
              <w:t xml:space="preserve">current </w:t>
            </w:r>
            <w:r w:rsidRPr="00231D82">
              <w:rPr>
                <w:b/>
                <w:bCs/>
                <w:iCs/>
                <w:sz w:val="20"/>
                <w:szCs w:val="20"/>
              </w:rPr>
              <w:t xml:space="preserve"> WHO</w:t>
            </w:r>
            <w:proofErr w:type="gramEnd"/>
            <w:r w:rsidRPr="00231D82">
              <w:rPr>
                <w:b/>
                <w:bCs/>
                <w:iCs/>
                <w:sz w:val="20"/>
                <w:szCs w:val="20"/>
              </w:rPr>
              <w:t xml:space="preserve"> </w:t>
            </w:r>
            <w:r>
              <w:rPr>
                <w:b/>
                <w:bCs/>
                <w:iCs/>
                <w:sz w:val="20"/>
                <w:szCs w:val="20"/>
              </w:rPr>
              <w:t>recommendations</w:t>
            </w:r>
            <w:r w:rsidRPr="00231D82">
              <w:rPr>
                <w:b/>
                <w:bCs/>
                <w:iCs/>
                <w:sz w:val="20"/>
                <w:szCs w:val="20"/>
              </w:rPr>
              <w:t xml:space="preserve"> actively promoting the use of revised screening algorithms to increase TB case detection. During 2019, the performance of the new diagnostic algorithm was evaluated</w:t>
            </w:r>
            <w:r>
              <w:rPr>
                <w:b/>
                <w:bCs/>
                <w:iCs/>
                <w:sz w:val="20"/>
                <w:szCs w:val="20"/>
              </w:rPr>
              <w:t xml:space="preserve"> by the NTP</w:t>
            </w:r>
            <w:r w:rsidRPr="00231D82">
              <w:rPr>
                <w:b/>
                <w:bCs/>
                <w:iCs/>
                <w:sz w:val="20"/>
                <w:szCs w:val="20"/>
              </w:rPr>
              <w:t xml:space="preserve">. Based on the evaluation, a decision on further scale-up of the algorithm was made. The NTP </w:t>
            </w:r>
            <w:r>
              <w:rPr>
                <w:b/>
                <w:bCs/>
                <w:iCs/>
                <w:sz w:val="20"/>
                <w:szCs w:val="20"/>
              </w:rPr>
              <w:t xml:space="preserve">plans </w:t>
            </w:r>
            <w:r w:rsidRPr="00231D82">
              <w:rPr>
                <w:b/>
                <w:bCs/>
                <w:iCs/>
                <w:sz w:val="20"/>
                <w:szCs w:val="20"/>
              </w:rPr>
              <w:t>to achieve countrywide implementation of the new diagnostic algorithm during 2021-2025.</w:t>
            </w:r>
          </w:p>
        </w:tc>
        <w:tc>
          <w:tcPr>
            <w:tcW w:w="4543" w:type="dxa"/>
            <w:vAlign w:val="center"/>
          </w:tcPr>
          <w:p w14:paraId="37AFC893" w14:textId="4937E4D6" w:rsidR="00B1113E" w:rsidRPr="00B1113E" w:rsidRDefault="00B1113E" w:rsidP="00B1113E">
            <w:pPr>
              <w:spacing w:after="0"/>
              <w:jc w:val="right"/>
              <w:rPr>
                <w:b/>
                <w:bCs/>
                <w:iCs/>
                <w:sz w:val="20"/>
                <w:szCs w:val="20"/>
              </w:rPr>
            </w:pPr>
            <w:r w:rsidRPr="00B1113E">
              <w:rPr>
                <w:b/>
                <w:bCs/>
                <w:iCs/>
                <w:sz w:val="20"/>
                <w:szCs w:val="20"/>
              </w:rPr>
              <w:t>$ 76.941</w:t>
            </w:r>
          </w:p>
        </w:tc>
      </w:tr>
      <w:tr w:rsidR="00B1113E" w:rsidRPr="00205DFE" w14:paraId="2B354705" w14:textId="77777777" w:rsidTr="00B1113E">
        <w:trPr>
          <w:trHeight w:val="332"/>
          <w:jc w:val="center"/>
        </w:trPr>
        <w:tc>
          <w:tcPr>
            <w:tcW w:w="1811" w:type="dxa"/>
          </w:tcPr>
          <w:p w14:paraId="08B55427" w14:textId="78606BCE" w:rsidR="00B1113E" w:rsidRPr="00231D82" w:rsidRDefault="00B1113E" w:rsidP="00B1113E">
            <w:pPr>
              <w:tabs>
                <w:tab w:val="left" w:pos="63"/>
              </w:tabs>
              <w:spacing w:after="0"/>
              <w:rPr>
                <w:b/>
                <w:bCs/>
                <w:iCs/>
                <w:sz w:val="20"/>
                <w:szCs w:val="20"/>
              </w:rPr>
            </w:pPr>
            <w:r w:rsidRPr="00084FA0">
              <w:t>Design and implementation of activities to increase case finding among specific high-risk areas or population groups</w:t>
            </w:r>
          </w:p>
        </w:tc>
        <w:tc>
          <w:tcPr>
            <w:tcW w:w="4385" w:type="dxa"/>
          </w:tcPr>
          <w:p w14:paraId="2F6A0C80" w14:textId="2D3518E7" w:rsidR="00B1113E" w:rsidRPr="00887CE9" w:rsidRDefault="00B1113E" w:rsidP="00B1113E">
            <w:pPr>
              <w:pStyle w:val="ListParagraph"/>
              <w:tabs>
                <w:tab w:val="left" w:pos="338"/>
              </w:tabs>
              <w:ind w:left="0" w:right="-54"/>
              <w:rPr>
                <w:b/>
                <w:bCs/>
                <w:iCs/>
                <w:sz w:val="20"/>
                <w:szCs w:val="20"/>
              </w:rPr>
            </w:pPr>
            <w:r w:rsidRPr="00887CE9">
              <w:rPr>
                <w:b/>
                <w:bCs/>
                <w:iCs/>
                <w:sz w:val="20"/>
                <w:szCs w:val="20"/>
              </w:rPr>
              <w:t xml:space="preserve">During the previous funding cycle, the NTP Bangladesh has </w:t>
            </w:r>
            <w:r>
              <w:rPr>
                <w:b/>
                <w:bCs/>
                <w:iCs/>
                <w:sz w:val="20"/>
                <w:szCs w:val="20"/>
              </w:rPr>
              <w:t>conducted a</w:t>
            </w:r>
            <w:r w:rsidRPr="00AB7BBD">
              <w:rPr>
                <w:b/>
                <w:bCs/>
                <w:iCs/>
                <w:sz w:val="20"/>
                <w:szCs w:val="20"/>
              </w:rPr>
              <w:t xml:space="preserve">ctive case finding activities in high-risk groups </w:t>
            </w:r>
            <w:r>
              <w:rPr>
                <w:b/>
                <w:bCs/>
                <w:iCs/>
                <w:sz w:val="20"/>
                <w:szCs w:val="20"/>
              </w:rPr>
              <w:t>based on</w:t>
            </w:r>
            <w:r w:rsidRPr="00AB7BBD">
              <w:rPr>
                <w:b/>
                <w:bCs/>
                <w:iCs/>
                <w:sz w:val="20"/>
                <w:szCs w:val="20"/>
              </w:rPr>
              <w:t xml:space="preserve"> WHO </w:t>
            </w:r>
            <w:r>
              <w:rPr>
                <w:b/>
                <w:bCs/>
                <w:iCs/>
                <w:sz w:val="20"/>
                <w:szCs w:val="20"/>
              </w:rPr>
              <w:t xml:space="preserve">recommendations </w:t>
            </w:r>
            <w:r w:rsidRPr="00AB7BBD">
              <w:rPr>
                <w:b/>
                <w:bCs/>
                <w:iCs/>
                <w:sz w:val="20"/>
                <w:szCs w:val="20"/>
              </w:rPr>
              <w:t xml:space="preserve">as an effective means towards increasing case </w:t>
            </w:r>
            <w:proofErr w:type="gramStart"/>
            <w:r w:rsidRPr="00AB7BBD">
              <w:rPr>
                <w:b/>
                <w:bCs/>
                <w:iCs/>
                <w:sz w:val="20"/>
                <w:szCs w:val="20"/>
              </w:rPr>
              <w:t>detection .</w:t>
            </w:r>
            <w:proofErr w:type="gramEnd"/>
            <w:r w:rsidRPr="00AB7BBD">
              <w:rPr>
                <w:b/>
                <w:bCs/>
                <w:iCs/>
                <w:sz w:val="20"/>
                <w:szCs w:val="20"/>
              </w:rPr>
              <w:t xml:space="preserve"> </w:t>
            </w:r>
            <w:r w:rsidRPr="00887CE9">
              <w:rPr>
                <w:b/>
                <w:bCs/>
                <w:iCs/>
                <w:sz w:val="20"/>
                <w:szCs w:val="20"/>
              </w:rPr>
              <w:t xml:space="preserve">A mapping and situation analysis of these populations will be required, and successful models of screening, referral, diagnosis, and treatment will be standardized as NTP policies and expanded to cover high-risk populations across the whole country. </w:t>
            </w:r>
            <w:r>
              <w:rPr>
                <w:b/>
                <w:bCs/>
                <w:iCs/>
                <w:sz w:val="20"/>
                <w:szCs w:val="20"/>
              </w:rPr>
              <w:t xml:space="preserve">Successful approaches will be expanded </w:t>
            </w:r>
            <w:proofErr w:type="spellStart"/>
            <w:r>
              <w:rPr>
                <w:b/>
                <w:bCs/>
                <w:iCs/>
                <w:sz w:val="20"/>
                <w:szCs w:val="20"/>
              </w:rPr>
              <w:t>to</w:t>
            </w:r>
            <w:proofErr w:type="spellEnd"/>
            <w:r w:rsidRPr="00AB7BBD">
              <w:rPr>
                <w:b/>
                <w:bCs/>
                <w:iCs/>
                <w:sz w:val="20"/>
                <w:szCs w:val="20"/>
              </w:rPr>
              <w:t xml:space="preserve"> hard to reach areas like Char , hill tract areas, tea garden</w:t>
            </w:r>
            <w:r>
              <w:rPr>
                <w:b/>
                <w:bCs/>
                <w:iCs/>
                <w:sz w:val="20"/>
                <w:szCs w:val="20"/>
              </w:rPr>
              <w:t xml:space="preserve">, </w:t>
            </w:r>
            <w:r w:rsidRPr="00AB7BBD">
              <w:rPr>
                <w:b/>
                <w:bCs/>
                <w:iCs/>
                <w:sz w:val="20"/>
                <w:szCs w:val="20"/>
              </w:rPr>
              <w:t>prisons, slums, areas with high migratory populations, and other high risk groups  (diabetics, miners and other workers intensely exposed to dust, workplace- areas with high concentrations of informal sector workers) to increase case notifications.  Attention to gender will be important element in the models.  Rural issues will be analyzed given the particular challenges for both diagnosis and DOT due to fewer community health resources.</w:t>
            </w:r>
          </w:p>
        </w:tc>
        <w:tc>
          <w:tcPr>
            <w:tcW w:w="4543" w:type="dxa"/>
            <w:vAlign w:val="center"/>
          </w:tcPr>
          <w:p w14:paraId="126E440C" w14:textId="514C950D" w:rsidR="00B1113E" w:rsidRPr="00205DFE" w:rsidRDefault="00B1113E" w:rsidP="00B1113E">
            <w:pPr>
              <w:spacing w:after="0"/>
              <w:ind w:right="-54"/>
              <w:jc w:val="right"/>
              <w:rPr>
                <w:b/>
                <w:bCs/>
                <w:iCs/>
                <w:sz w:val="20"/>
                <w:szCs w:val="20"/>
              </w:rPr>
            </w:pPr>
            <w:r>
              <w:rPr>
                <w:b/>
                <w:bCs/>
                <w:iCs/>
                <w:sz w:val="20"/>
                <w:szCs w:val="20"/>
              </w:rPr>
              <w:t>$</w:t>
            </w:r>
            <w:r w:rsidRPr="00F824CC">
              <w:rPr>
                <w:b/>
                <w:bCs/>
                <w:iCs/>
                <w:sz w:val="20"/>
                <w:szCs w:val="20"/>
              </w:rPr>
              <w:t xml:space="preserve"> </w:t>
            </w:r>
            <w:r>
              <w:rPr>
                <w:b/>
                <w:bCs/>
                <w:iCs/>
                <w:sz w:val="20"/>
                <w:szCs w:val="20"/>
              </w:rPr>
              <w:t>519.523</w:t>
            </w:r>
          </w:p>
        </w:tc>
      </w:tr>
      <w:tr w:rsidR="00B1113E" w:rsidRPr="00205DFE" w14:paraId="30864F7C" w14:textId="77777777" w:rsidTr="00B1113E">
        <w:trPr>
          <w:trHeight w:val="332"/>
          <w:jc w:val="center"/>
        </w:trPr>
        <w:tc>
          <w:tcPr>
            <w:tcW w:w="1811" w:type="dxa"/>
          </w:tcPr>
          <w:p w14:paraId="6EB1C211" w14:textId="2614B559" w:rsidR="00B1113E" w:rsidRPr="00231D82" w:rsidRDefault="00B1113E" w:rsidP="00B1113E">
            <w:pPr>
              <w:tabs>
                <w:tab w:val="left" w:pos="63"/>
              </w:tabs>
              <w:spacing w:after="0"/>
              <w:rPr>
                <w:b/>
                <w:bCs/>
                <w:iCs/>
                <w:sz w:val="20"/>
                <w:szCs w:val="20"/>
              </w:rPr>
            </w:pPr>
            <w:r w:rsidRPr="00084FA0">
              <w:t>Ensure full implementation of WHO’s TB-HIV policy</w:t>
            </w:r>
          </w:p>
        </w:tc>
        <w:tc>
          <w:tcPr>
            <w:tcW w:w="4385" w:type="dxa"/>
          </w:tcPr>
          <w:p w14:paraId="346EEB41" w14:textId="059DACEB" w:rsidR="00B1113E" w:rsidRPr="00205DFE" w:rsidRDefault="00B1113E" w:rsidP="00B1113E">
            <w:pPr>
              <w:pStyle w:val="ListParagraph"/>
              <w:tabs>
                <w:tab w:val="left" w:pos="338"/>
              </w:tabs>
              <w:spacing w:after="0"/>
              <w:ind w:left="0" w:right="-54"/>
              <w:contextualSpacing w:val="0"/>
              <w:rPr>
                <w:b/>
                <w:bCs/>
                <w:iCs/>
                <w:sz w:val="20"/>
                <w:szCs w:val="20"/>
              </w:rPr>
            </w:pPr>
            <w:r>
              <w:rPr>
                <w:b/>
                <w:bCs/>
                <w:iCs/>
                <w:sz w:val="20"/>
                <w:szCs w:val="20"/>
              </w:rPr>
              <w:t xml:space="preserve">Addressing the threat of TB/HIV co-infection is a priority activity for the NTP Bangladesh. </w:t>
            </w:r>
            <w:r w:rsidRPr="00AB7BBD">
              <w:rPr>
                <w:b/>
                <w:bCs/>
                <w:iCs/>
                <w:sz w:val="20"/>
                <w:szCs w:val="20"/>
              </w:rPr>
              <w:t xml:space="preserve">Under this strategy, the full package of WHO’s TB-HIV strategy will be implemented, including stronger TB/HIV collaboration between the NTP and NASP with coordinated guideline writing and biannual TB/HIV collaborative meetings; HIV screening for all newly-diagnosed TB cases; introduction of “provider initiated HIV testing” for DOTS clinics, hospitals, and </w:t>
            </w:r>
            <w:r w:rsidRPr="00AB7BBD">
              <w:rPr>
                <w:b/>
                <w:bCs/>
                <w:iCs/>
                <w:sz w:val="20"/>
                <w:szCs w:val="20"/>
              </w:rPr>
              <w:lastRenderedPageBreak/>
              <w:t>areas with high number of TB patients with HIV risk</w:t>
            </w:r>
            <w:r>
              <w:rPr>
                <w:b/>
                <w:bCs/>
                <w:iCs/>
                <w:sz w:val="20"/>
                <w:szCs w:val="20"/>
              </w:rPr>
              <w:t xml:space="preserve"> and</w:t>
            </w:r>
            <w:r w:rsidRPr="00AB7BBD">
              <w:rPr>
                <w:b/>
                <w:bCs/>
                <w:iCs/>
                <w:sz w:val="20"/>
                <w:szCs w:val="20"/>
              </w:rPr>
              <w:t xml:space="preserve"> the screening of all HIV patients for symptoms of TB</w:t>
            </w:r>
            <w:r>
              <w:rPr>
                <w:b/>
                <w:bCs/>
                <w:iCs/>
                <w:sz w:val="20"/>
                <w:szCs w:val="20"/>
              </w:rPr>
              <w:t>.</w:t>
            </w:r>
          </w:p>
        </w:tc>
        <w:tc>
          <w:tcPr>
            <w:tcW w:w="4543" w:type="dxa"/>
            <w:vAlign w:val="center"/>
          </w:tcPr>
          <w:p w14:paraId="1E43F7CE" w14:textId="4D5369D8" w:rsidR="00B1113E" w:rsidRPr="00B1113E" w:rsidRDefault="00B1113E" w:rsidP="00B1113E">
            <w:pPr>
              <w:spacing w:after="0"/>
              <w:ind w:right="-54"/>
              <w:jc w:val="right"/>
              <w:rPr>
                <w:b/>
                <w:bCs/>
                <w:iCs/>
                <w:sz w:val="20"/>
                <w:szCs w:val="20"/>
              </w:rPr>
            </w:pPr>
            <w:r w:rsidRPr="00B1113E">
              <w:rPr>
                <w:b/>
                <w:bCs/>
                <w:iCs/>
                <w:sz w:val="20"/>
                <w:szCs w:val="20"/>
              </w:rPr>
              <w:lastRenderedPageBreak/>
              <w:t>$ 27.388</w:t>
            </w:r>
          </w:p>
        </w:tc>
      </w:tr>
      <w:tr w:rsidR="00B1113E" w:rsidRPr="00205DFE" w14:paraId="14E063B2" w14:textId="77777777" w:rsidTr="00B1113E">
        <w:trPr>
          <w:trHeight w:val="332"/>
          <w:jc w:val="center"/>
        </w:trPr>
        <w:tc>
          <w:tcPr>
            <w:tcW w:w="1811" w:type="dxa"/>
          </w:tcPr>
          <w:p w14:paraId="5157A414" w14:textId="037DE663" w:rsidR="00B1113E" w:rsidRPr="00231D82" w:rsidRDefault="00B1113E" w:rsidP="00B1113E">
            <w:pPr>
              <w:tabs>
                <w:tab w:val="left" w:pos="63"/>
              </w:tabs>
              <w:spacing w:after="0"/>
              <w:rPr>
                <w:b/>
                <w:bCs/>
                <w:iCs/>
                <w:sz w:val="20"/>
                <w:szCs w:val="20"/>
              </w:rPr>
            </w:pPr>
            <w:r w:rsidRPr="00084FA0">
              <w:lastRenderedPageBreak/>
              <w:t>Ensure regular maintenance of all diagnostic equipment</w:t>
            </w:r>
          </w:p>
        </w:tc>
        <w:tc>
          <w:tcPr>
            <w:tcW w:w="4385" w:type="dxa"/>
          </w:tcPr>
          <w:p w14:paraId="2A3E7DD1" w14:textId="6CEA7C1B" w:rsidR="00B1113E" w:rsidRPr="00205DFE" w:rsidRDefault="00B1113E" w:rsidP="00B1113E">
            <w:pPr>
              <w:pStyle w:val="ListParagraph"/>
              <w:tabs>
                <w:tab w:val="left" w:pos="338"/>
              </w:tabs>
              <w:spacing w:after="0"/>
              <w:ind w:left="0" w:right="-54"/>
              <w:contextualSpacing w:val="0"/>
              <w:rPr>
                <w:b/>
                <w:bCs/>
                <w:iCs/>
                <w:sz w:val="20"/>
                <w:szCs w:val="20"/>
              </w:rPr>
            </w:pPr>
            <w:r w:rsidRPr="00AB7BBD">
              <w:rPr>
                <w:b/>
                <w:bCs/>
                <w:iCs/>
                <w:sz w:val="20"/>
                <w:szCs w:val="20"/>
              </w:rPr>
              <w:t xml:space="preserve">Advanced diagnostic technologies such as gene </w:t>
            </w:r>
            <w:proofErr w:type="spellStart"/>
            <w:r w:rsidRPr="00AB7BBD">
              <w:rPr>
                <w:b/>
                <w:bCs/>
                <w:iCs/>
                <w:sz w:val="20"/>
                <w:szCs w:val="20"/>
              </w:rPr>
              <w:t>Xpert</w:t>
            </w:r>
            <w:proofErr w:type="spellEnd"/>
            <w:r w:rsidRPr="00AB7BBD">
              <w:rPr>
                <w:b/>
                <w:bCs/>
                <w:iCs/>
                <w:sz w:val="20"/>
                <w:szCs w:val="20"/>
              </w:rPr>
              <w:t xml:space="preserve"> or LED microscopy require the ensured regular maintenance of all equipment for diagnostic accuracy. Under this strategy, the maintenance of advanced equipment will be ensured through the establishment of equipment maintenance/repair contracts at the time of purchase.</w:t>
            </w:r>
          </w:p>
        </w:tc>
        <w:tc>
          <w:tcPr>
            <w:tcW w:w="4543" w:type="dxa"/>
            <w:vAlign w:val="center"/>
          </w:tcPr>
          <w:p w14:paraId="3A6D79A4" w14:textId="1410719E" w:rsidR="00B1113E" w:rsidRPr="00B1113E" w:rsidRDefault="00B1113E" w:rsidP="00B1113E">
            <w:pPr>
              <w:spacing w:after="0"/>
              <w:ind w:right="-54"/>
              <w:jc w:val="right"/>
              <w:rPr>
                <w:b/>
                <w:bCs/>
                <w:iCs/>
                <w:sz w:val="20"/>
                <w:szCs w:val="20"/>
              </w:rPr>
            </w:pPr>
            <w:r w:rsidRPr="00B1113E">
              <w:rPr>
                <w:b/>
                <w:bCs/>
                <w:iCs/>
                <w:sz w:val="20"/>
                <w:szCs w:val="20"/>
              </w:rPr>
              <w:t>$ 128.135</w:t>
            </w:r>
          </w:p>
        </w:tc>
      </w:tr>
      <w:tr w:rsidR="00B1113E" w:rsidRPr="00205DFE" w14:paraId="3D98AD44" w14:textId="77777777" w:rsidTr="00B1113E">
        <w:trPr>
          <w:trHeight w:val="332"/>
          <w:jc w:val="center"/>
        </w:trPr>
        <w:tc>
          <w:tcPr>
            <w:tcW w:w="1811" w:type="dxa"/>
          </w:tcPr>
          <w:p w14:paraId="33096839" w14:textId="7FA320BF" w:rsidR="00B1113E" w:rsidRPr="00231D82" w:rsidRDefault="00B1113E" w:rsidP="00B1113E">
            <w:pPr>
              <w:tabs>
                <w:tab w:val="left" w:pos="63"/>
              </w:tabs>
              <w:spacing w:after="0"/>
              <w:rPr>
                <w:b/>
                <w:bCs/>
                <w:iCs/>
                <w:sz w:val="20"/>
                <w:szCs w:val="20"/>
              </w:rPr>
            </w:pPr>
            <w:r w:rsidRPr="00084FA0">
              <w:t xml:space="preserve">Ensure regular supervision of all </w:t>
            </w:r>
            <w:r>
              <w:t>patient support</w:t>
            </w:r>
            <w:r w:rsidRPr="00084FA0">
              <w:t xml:space="preserve"> providers</w:t>
            </w:r>
          </w:p>
        </w:tc>
        <w:tc>
          <w:tcPr>
            <w:tcW w:w="4385" w:type="dxa"/>
          </w:tcPr>
          <w:p w14:paraId="0AF02D99" w14:textId="3D98C723" w:rsidR="00B1113E" w:rsidRPr="00205DFE" w:rsidRDefault="00B1113E" w:rsidP="00B1113E">
            <w:pPr>
              <w:pStyle w:val="ListParagraph"/>
              <w:tabs>
                <w:tab w:val="left" w:pos="338"/>
              </w:tabs>
              <w:spacing w:after="0"/>
              <w:ind w:left="0" w:right="-54"/>
              <w:contextualSpacing w:val="0"/>
              <w:rPr>
                <w:b/>
                <w:bCs/>
                <w:iCs/>
                <w:sz w:val="20"/>
                <w:szCs w:val="20"/>
              </w:rPr>
            </w:pPr>
            <w:r w:rsidRPr="0099148F">
              <w:rPr>
                <w:b/>
                <w:bCs/>
                <w:iCs/>
                <w:sz w:val="20"/>
                <w:szCs w:val="20"/>
              </w:rPr>
              <w:t xml:space="preserve">The provision of </w:t>
            </w:r>
            <w:r>
              <w:rPr>
                <w:b/>
                <w:bCs/>
                <w:iCs/>
                <w:sz w:val="20"/>
                <w:szCs w:val="20"/>
              </w:rPr>
              <w:t xml:space="preserve">patient support </w:t>
            </w:r>
            <w:r w:rsidRPr="0099148F">
              <w:rPr>
                <w:b/>
                <w:bCs/>
                <w:iCs/>
                <w:sz w:val="20"/>
                <w:szCs w:val="20"/>
              </w:rPr>
              <w:t xml:space="preserve">through multiple providers including family members is a core strategy ensuring continued high treatment success rates. The regular supervision of all </w:t>
            </w:r>
            <w:r w:rsidRPr="00AE7DE9">
              <w:rPr>
                <w:b/>
                <w:bCs/>
                <w:iCs/>
                <w:sz w:val="20"/>
                <w:szCs w:val="20"/>
              </w:rPr>
              <w:t>patient support</w:t>
            </w:r>
            <w:r w:rsidRPr="0099148F">
              <w:rPr>
                <w:b/>
                <w:bCs/>
                <w:iCs/>
                <w:sz w:val="20"/>
                <w:szCs w:val="20"/>
              </w:rPr>
              <w:t xml:space="preserve"> providers is mandatory to ensure the reliable provision of DOT as well as appropriate management of side effects. Under this strategy, a regular schedule of supervision activities to all </w:t>
            </w:r>
            <w:r w:rsidRPr="00AE7DE9">
              <w:rPr>
                <w:b/>
                <w:bCs/>
                <w:iCs/>
                <w:sz w:val="20"/>
                <w:szCs w:val="20"/>
              </w:rPr>
              <w:t>patient support</w:t>
            </w:r>
            <w:r w:rsidRPr="0099148F">
              <w:rPr>
                <w:b/>
                <w:bCs/>
                <w:iCs/>
                <w:sz w:val="20"/>
                <w:szCs w:val="20"/>
              </w:rPr>
              <w:t xml:space="preserve"> providers will be established in collaboration between the NTP and NGO partners. The strategy will also ensure the documented feed-back on supervision activities and  follow up to ensure that corrective actions are being taken on identified problems.</w:t>
            </w:r>
          </w:p>
        </w:tc>
        <w:tc>
          <w:tcPr>
            <w:tcW w:w="4543" w:type="dxa"/>
            <w:vAlign w:val="center"/>
          </w:tcPr>
          <w:p w14:paraId="3B1206B9" w14:textId="55E36E53" w:rsidR="00B1113E" w:rsidRPr="00B1113E" w:rsidRDefault="00B1113E" w:rsidP="00B1113E">
            <w:pPr>
              <w:spacing w:after="0"/>
              <w:ind w:right="-54"/>
              <w:jc w:val="right"/>
              <w:rPr>
                <w:b/>
                <w:bCs/>
                <w:iCs/>
                <w:sz w:val="20"/>
                <w:szCs w:val="20"/>
              </w:rPr>
            </w:pPr>
            <w:r w:rsidRPr="00B1113E">
              <w:rPr>
                <w:b/>
                <w:bCs/>
                <w:iCs/>
                <w:sz w:val="20"/>
                <w:szCs w:val="20"/>
              </w:rPr>
              <w:t>$ 1.791.554</w:t>
            </w:r>
          </w:p>
        </w:tc>
      </w:tr>
      <w:tr w:rsidR="00B1113E" w:rsidRPr="00205DFE" w14:paraId="0C3412B5" w14:textId="77777777" w:rsidTr="00B1113E">
        <w:trPr>
          <w:trHeight w:val="332"/>
          <w:jc w:val="center"/>
        </w:trPr>
        <w:tc>
          <w:tcPr>
            <w:tcW w:w="1811" w:type="dxa"/>
          </w:tcPr>
          <w:p w14:paraId="10C6246E" w14:textId="52FCD42A" w:rsidR="00B1113E" w:rsidRPr="00231D82" w:rsidRDefault="00B1113E" w:rsidP="00B1113E">
            <w:pPr>
              <w:tabs>
                <w:tab w:val="left" w:pos="63"/>
              </w:tabs>
              <w:spacing w:after="0"/>
              <w:rPr>
                <w:b/>
                <w:bCs/>
                <w:iCs/>
                <w:sz w:val="20"/>
                <w:szCs w:val="20"/>
              </w:rPr>
            </w:pPr>
            <w:r w:rsidRPr="00084FA0">
              <w:t xml:space="preserve">Ensure the availability of functioning X-ray facilities at all CDCs, CDHs and </w:t>
            </w:r>
            <w:proofErr w:type="spellStart"/>
            <w:r w:rsidRPr="00084FA0">
              <w:t>Upzillas</w:t>
            </w:r>
            <w:proofErr w:type="spellEnd"/>
          </w:p>
        </w:tc>
        <w:tc>
          <w:tcPr>
            <w:tcW w:w="4385" w:type="dxa"/>
          </w:tcPr>
          <w:p w14:paraId="1C70484F" w14:textId="10FC6928" w:rsidR="00B1113E" w:rsidRPr="00205DFE" w:rsidRDefault="00B1113E" w:rsidP="00B1113E">
            <w:pPr>
              <w:pStyle w:val="ListParagraph"/>
              <w:tabs>
                <w:tab w:val="left" w:pos="338"/>
              </w:tabs>
              <w:spacing w:after="0"/>
              <w:ind w:left="0" w:right="-54"/>
              <w:contextualSpacing w:val="0"/>
              <w:rPr>
                <w:b/>
                <w:bCs/>
                <w:iCs/>
                <w:sz w:val="20"/>
                <w:szCs w:val="20"/>
              </w:rPr>
            </w:pPr>
            <w:r w:rsidRPr="0099148F">
              <w:rPr>
                <w:b/>
                <w:bCs/>
                <w:iCs/>
                <w:sz w:val="20"/>
                <w:szCs w:val="20"/>
              </w:rPr>
              <w:t>The new diagnostic algorithm includes a much broader use of initial chest X-ray examination for all suspects. Under this strategy, the availability of functioning X-ray facilities at all CDCs and CDHs will be ensured through the repair/maintenance of existing machines.</w:t>
            </w:r>
          </w:p>
        </w:tc>
        <w:tc>
          <w:tcPr>
            <w:tcW w:w="4543" w:type="dxa"/>
            <w:vAlign w:val="center"/>
          </w:tcPr>
          <w:p w14:paraId="1A92C8F5" w14:textId="110C3B46" w:rsidR="00B1113E" w:rsidRPr="00B1113E" w:rsidRDefault="00B1113E" w:rsidP="00B1113E">
            <w:pPr>
              <w:spacing w:after="0"/>
              <w:ind w:right="-54"/>
              <w:jc w:val="right"/>
              <w:rPr>
                <w:b/>
                <w:bCs/>
                <w:iCs/>
                <w:sz w:val="20"/>
                <w:szCs w:val="20"/>
              </w:rPr>
            </w:pPr>
            <w:r w:rsidRPr="0099148F">
              <w:rPr>
                <w:b/>
                <w:bCs/>
                <w:iCs/>
                <w:sz w:val="20"/>
                <w:szCs w:val="20"/>
              </w:rPr>
              <w:t>$</w:t>
            </w:r>
            <w:r w:rsidRPr="00F824CC">
              <w:rPr>
                <w:b/>
                <w:bCs/>
                <w:iCs/>
                <w:sz w:val="20"/>
                <w:szCs w:val="20"/>
              </w:rPr>
              <w:t xml:space="preserve"> 889.59</w:t>
            </w:r>
            <w:r>
              <w:rPr>
                <w:b/>
                <w:bCs/>
                <w:iCs/>
                <w:sz w:val="20"/>
                <w:szCs w:val="20"/>
              </w:rPr>
              <w:t>9</w:t>
            </w:r>
          </w:p>
        </w:tc>
      </w:tr>
      <w:tr w:rsidR="00B1113E" w:rsidRPr="00205DFE" w14:paraId="74C27F60" w14:textId="77777777" w:rsidTr="00B1113E">
        <w:trPr>
          <w:trHeight w:val="332"/>
          <w:jc w:val="center"/>
        </w:trPr>
        <w:tc>
          <w:tcPr>
            <w:tcW w:w="1811" w:type="dxa"/>
          </w:tcPr>
          <w:p w14:paraId="4BC59F25" w14:textId="48643443" w:rsidR="00B1113E" w:rsidRPr="00231D82" w:rsidRDefault="00B1113E" w:rsidP="00B1113E">
            <w:pPr>
              <w:tabs>
                <w:tab w:val="left" w:pos="63"/>
              </w:tabs>
              <w:spacing w:after="0"/>
              <w:rPr>
                <w:b/>
                <w:bCs/>
                <w:iCs/>
                <w:sz w:val="20"/>
                <w:szCs w:val="20"/>
              </w:rPr>
            </w:pPr>
            <w:r w:rsidRPr="00084FA0">
              <w:t>Ensure the implementation of contact screening procedures at all facilities</w:t>
            </w:r>
          </w:p>
        </w:tc>
        <w:tc>
          <w:tcPr>
            <w:tcW w:w="4385" w:type="dxa"/>
          </w:tcPr>
          <w:p w14:paraId="77773CF5" w14:textId="3EDEFE30" w:rsidR="00B1113E" w:rsidRPr="00205DFE" w:rsidRDefault="00B1113E" w:rsidP="00B1113E">
            <w:pPr>
              <w:pStyle w:val="ListParagraph"/>
              <w:tabs>
                <w:tab w:val="left" w:pos="338"/>
              </w:tabs>
              <w:spacing w:after="0"/>
              <w:ind w:left="0" w:right="-54"/>
              <w:contextualSpacing w:val="0"/>
              <w:rPr>
                <w:b/>
                <w:bCs/>
                <w:iCs/>
                <w:sz w:val="20"/>
                <w:szCs w:val="20"/>
              </w:rPr>
            </w:pPr>
            <w:r w:rsidRPr="0099148F">
              <w:rPr>
                <w:b/>
                <w:bCs/>
                <w:iCs/>
                <w:sz w:val="20"/>
                <w:szCs w:val="20"/>
              </w:rPr>
              <w:t>The screening of contacts of active TB cases for symptoms of TB is an important tool to increase case detection. While the new NTP Manual contains detailed instructions on the implementation of this method, the policies are rarely effectively implemented. This strategy will focus on the development of clear-cut operational guidelines and plans for implementation &amp; monitoring, followed by training of all staff in contact tracing techniques, as well as the strengthening of supervision for this program component. In addition, local NGOs/CBOs will be mobilized through small implementation schemes.</w:t>
            </w:r>
          </w:p>
        </w:tc>
        <w:tc>
          <w:tcPr>
            <w:tcW w:w="4543" w:type="dxa"/>
            <w:vAlign w:val="center"/>
          </w:tcPr>
          <w:p w14:paraId="346A8023" w14:textId="1D4AAD18" w:rsidR="00B1113E" w:rsidRPr="00205DFE" w:rsidRDefault="00B1113E" w:rsidP="00B1113E">
            <w:pPr>
              <w:spacing w:after="0"/>
              <w:ind w:right="-54"/>
              <w:jc w:val="right"/>
              <w:rPr>
                <w:b/>
                <w:bCs/>
                <w:iCs/>
                <w:sz w:val="20"/>
                <w:szCs w:val="20"/>
              </w:rPr>
            </w:pPr>
            <w:r w:rsidRPr="00B1113E">
              <w:rPr>
                <w:b/>
                <w:bCs/>
                <w:iCs/>
                <w:sz w:val="20"/>
                <w:szCs w:val="20"/>
              </w:rPr>
              <w:t>$2.893.066</w:t>
            </w:r>
          </w:p>
        </w:tc>
      </w:tr>
      <w:tr w:rsidR="00B1113E" w:rsidRPr="00205DFE" w14:paraId="51AA2152" w14:textId="77777777" w:rsidTr="00B1113E">
        <w:trPr>
          <w:trHeight w:val="332"/>
          <w:jc w:val="center"/>
        </w:trPr>
        <w:tc>
          <w:tcPr>
            <w:tcW w:w="1811" w:type="dxa"/>
          </w:tcPr>
          <w:p w14:paraId="025E9133" w14:textId="7472E835" w:rsidR="00B1113E" w:rsidRPr="00231D82" w:rsidRDefault="00B1113E" w:rsidP="00B1113E">
            <w:pPr>
              <w:tabs>
                <w:tab w:val="left" w:pos="63"/>
              </w:tabs>
              <w:spacing w:after="0"/>
              <w:rPr>
                <w:b/>
                <w:bCs/>
                <w:iCs/>
                <w:sz w:val="20"/>
                <w:szCs w:val="20"/>
              </w:rPr>
            </w:pPr>
            <w:r w:rsidRPr="00084FA0">
              <w:t xml:space="preserve">Expansion of Gene </w:t>
            </w:r>
            <w:proofErr w:type="spellStart"/>
            <w:r w:rsidRPr="00084FA0">
              <w:t>Xpert</w:t>
            </w:r>
            <w:proofErr w:type="spellEnd"/>
            <w:r w:rsidRPr="00084FA0">
              <w:t xml:space="preserve"> sites to cover all </w:t>
            </w:r>
            <w:proofErr w:type="spellStart"/>
            <w:r w:rsidRPr="00084FA0">
              <w:t>upazillas</w:t>
            </w:r>
            <w:proofErr w:type="spellEnd"/>
            <w:r w:rsidRPr="00084FA0">
              <w:t xml:space="preserve"> and large public/private </w:t>
            </w:r>
            <w:r w:rsidRPr="00084FA0">
              <w:lastRenderedPageBreak/>
              <w:t>hospitals by 2025</w:t>
            </w:r>
          </w:p>
        </w:tc>
        <w:tc>
          <w:tcPr>
            <w:tcW w:w="4385" w:type="dxa"/>
          </w:tcPr>
          <w:p w14:paraId="0DE08AA8" w14:textId="19E87E6B" w:rsidR="00B1113E" w:rsidRDefault="00B1113E" w:rsidP="00B1113E">
            <w:pPr>
              <w:pStyle w:val="ListParagraph"/>
              <w:tabs>
                <w:tab w:val="left" w:pos="338"/>
              </w:tabs>
              <w:spacing w:after="0"/>
              <w:ind w:left="0" w:right="-54"/>
              <w:rPr>
                <w:b/>
                <w:bCs/>
                <w:iCs/>
                <w:sz w:val="20"/>
                <w:szCs w:val="20"/>
              </w:rPr>
            </w:pPr>
            <w:r>
              <w:rPr>
                <w:b/>
                <w:bCs/>
                <w:iCs/>
                <w:sz w:val="20"/>
                <w:szCs w:val="20"/>
              </w:rPr>
              <w:lastRenderedPageBreak/>
              <w:t xml:space="preserve">The NTP prioritized this intervention in the NSP 2021-2025, with the aim of achieving countrywide access to Gene </w:t>
            </w:r>
            <w:proofErr w:type="spellStart"/>
            <w:r>
              <w:rPr>
                <w:b/>
                <w:bCs/>
                <w:iCs/>
                <w:sz w:val="20"/>
                <w:szCs w:val="20"/>
              </w:rPr>
              <w:t>Xpert</w:t>
            </w:r>
            <w:proofErr w:type="spellEnd"/>
            <w:r>
              <w:rPr>
                <w:b/>
                <w:bCs/>
                <w:iCs/>
                <w:sz w:val="20"/>
                <w:szCs w:val="20"/>
              </w:rPr>
              <w:t xml:space="preserve"> testing by</w:t>
            </w:r>
            <w:r w:rsidRPr="006B30AB">
              <w:rPr>
                <w:b/>
                <w:bCs/>
                <w:iCs/>
                <w:sz w:val="20"/>
                <w:szCs w:val="20"/>
              </w:rPr>
              <w:t xml:space="preserve"> 2025.</w:t>
            </w:r>
            <w:r>
              <w:rPr>
                <w:b/>
                <w:bCs/>
                <w:iCs/>
                <w:sz w:val="20"/>
                <w:szCs w:val="20"/>
              </w:rPr>
              <w:t xml:space="preserve"> Total country need will be 1,260 machines.</w:t>
            </w:r>
          </w:p>
          <w:p w14:paraId="10A541C5" w14:textId="77777777" w:rsidR="00B1113E" w:rsidRPr="009B4EDF" w:rsidRDefault="00B1113E" w:rsidP="00B1113E">
            <w:pPr>
              <w:tabs>
                <w:tab w:val="left" w:pos="338"/>
              </w:tabs>
              <w:spacing w:after="0"/>
              <w:ind w:right="-54"/>
              <w:rPr>
                <w:b/>
                <w:bCs/>
                <w:iCs/>
                <w:sz w:val="20"/>
                <w:szCs w:val="20"/>
              </w:rPr>
            </w:pPr>
          </w:p>
          <w:p w14:paraId="00F4F6D9" w14:textId="48B61F86" w:rsidR="00B1113E" w:rsidRPr="00205DFE" w:rsidRDefault="00B1113E" w:rsidP="00B1113E">
            <w:pPr>
              <w:pStyle w:val="ListParagraph"/>
              <w:tabs>
                <w:tab w:val="left" w:pos="338"/>
              </w:tabs>
              <w:spacing w:after="0"/>
              <w:ind w:left="0" w:right="-54"/>
              <w:contextualSpacing w:val="0"/>
              <w:rPr>
                <w:b/>
                <w:bCs/>
                <w:iCs/>
                <w:sz w:val="20"/>
                <w:szCs w:val="20"/>
              </w:rPr>
            </w:pPr>
            <w:r>
              <w:rPr>
                <w:b/>
                <w:bCs/>
                <w:iCs/>
                <w:sz w:val="20"/>
                <w:szCs w:val="20"/>
              </w:rPr>
              <w:lastRenderedPageBreak/>
              <w:t xml:space="preserve">During the FR period, the purchase of 180 new Gene </w:t>
            </w:r>
            <w:proofErr w:type="spellStart"/>
            <w:r>
              <w:rPr>
                <w:b/>
                <w:bCs/>
                <w:iCs/>
                <w:sz w:val="20"/>
                <w:szCs w:val="20"/>
              </w:rPr>
              <w:t>Xpert</w:t>
            </w:r>
            <w:proofErr w:type="spellEnd"/>
            <w:r>
              <w:rPr>
                <w:b/>
                <w:bCs/>
                <w:iCs/>
                <w:sz w:val="20"/>
                <w:szCs w:val="20"/>
              </w:rPr>
              <w:t xml:space="preserve"> in addition to the 470 existing machines (as of 2020) is planned, for a total of 650 machines by 2023.</w:t>
            </w:r>
          </w:p>
        </w:tc>
        <w:tc>
          <w:tcPr>
            <w:tcW w:w="4543" w:type="dxa"/>
            <w:vAlign w:val="center"/>
          </w:tcPr>
          <w:p w14:paraId="50AE817B" w14:textId="54DF4231" w:rsidR="00B1113E" w:rsidRPr="00B1113E" w:rsidRDefault="00B1113E" w:rsidP="00B1113E">
            <w:pPr>
              <w:spacing w:after="0"/>
              <w:ind w:right="-54"/>
              <w:jc w:val="right"/>
              <w:rPr>
                <w:b/>
                <w:bCs/>
                <w:iCs/>
                <w:sz w:val="20"/>
                <w:szCs w:val="20"/>
              </w:rPr>
            </w:pPr>
            <w:r w:rsidRPr="00B1113E">
              <w:rPr>
                <w:b/>
                <w:bCs/>
                <w:iCs/>
                <w:sz w:val="20"/>
                <w:szCs w:val="20"/>
              </w:rPr>
              <w:lastRenderedPageBreak/>
              <w:t>$36.113.541</w:t>
            </w:r>
          </w:p>
        </w:tc>
      </w:tr>
      <w:tr w:rsidR="00B1113E" w:rsidRPr="00205DFE" w14:paraId="177BE2AD" w14:textId="77777777" w:rsidTr="00B1113E">
        <w:trPr>
          <w:trHeight w:val="332"/>
          <w:jc w:val="center"/>
        </w:trPr>
        <w:tc>
          <w:tcPr>
            <w:tcW w:w="1811" w:type="dxa"/>
          </w:tcPr>
          <w:p w14:paraId="1D80C148" w14:textId="77433F4C" w:rsidR="00B1113E" w:rsidRPr="00231D82" w:rsidRDefault="00B1113E" w:rsidP="00B1113E">
            <w:pPr>
              <w:tabs>
                <w:tab w:val="left" w:pos="63"/>
              </w:tabs>
              <w:spacing w:after="0"/>
              <w:rPr>
                <w:b/>
                <w:bCs/>
                <w:iCs/>
                <w:sz w:val="20"/>
                <w:szCs w:val="20"/>
              </w:rPr>
            </w:pPr>
            <w:r w:rsidRPr="00084FA0">
              <w:lastRenderedPageBreak/>
              <w:t>Expansion of successful case-finding activities at community level</w:t>
            </w:r>
          </w:p>
        </w:tc>
        <w:tc>
          <w:tcPr>
            <w:tcW w:w="4385" w:type="dxa"/>
          </w:tcPr>
          <w:p w14:paraId="7A373A70" w14:textId="76E40F8A" w:rsidR="00B1113E" w:rsidRDefault="00B1113E" w:rsidP="00B1113E">
            <w:pPr>
              <w:pStyle w:val="ListParagraph"/>
              <w:tabs>
                <w:tab w:val="left" w:pos="338"/>
              </w:tabs>
              <w:spacing w:after="0"/>
              <w:ind w:left="0" w:right="-57"/>
              <w:rPr>
                <w:b/>
                <w:bCs/>
                <w:iCs/>
                <w:sz w:val="20"/>
                <w:szCs w:val="20"/>
              </w:rPr>
            </w:pPr>
            <w:r>
              <w:rPr>
                <w:b/>
                <w:bCs/>
                <w:iCs/>
                <w:sz w:val="20"/>
                <w:szCs w:val="20"/>
              </w:rPr>
              <w:t>C</w:t>
            </w:r>
            <w:r w:rsidRPr="0099148F">
              <w:rPr>
                <w:b/>
                <w:bCs/>
                <w:iCs/>
                <w:sz w:val="20"/>
                <w:szCs w:val="20"/>
              </w:rPr>
              <w:t xml:space="preserve">ommunity-based case finding activities </w:t>
            </w:r>
            <w:r>
              <w:rPr>
                <w:b/>
                <w:bCs/>
                <w:iCs/>
                <w:sz w:val="20"/>
                <w:szCs w:val="20"/>
              </w:rPr>
              <w:t xml:space="preserve">have been very in successful in increasing case detection in some areas during the previous funding cycle. </w:t>
            </w:r>
            <w:r w:rsidRPr="0099148F">
              <w:rPr>
                <w:b/>
                <w:bCs/>
                <w:iCs/>
                <w:sz w:val="20"/>
                <w:szCs w:val="20"/>
              </w:rPr>
              <w:t xml:space="preserve">Under this strategy, successful models of community-based case finding activities will be expanded to all divisions and districts in the country. The NTP, in collaboration with NGO partners, will develop standard models describing logistics and staffing requirements based on the diversity of the types of client, providers and facilities. The equal / proportionate distribution of community volunteer or DOT Providers in the areas of urban and metropolitan cities including rural areas will be ensured. </w:t>
            </w:r>
          </w:p>
          <w:p w14:paraId="6F83B5AE" w14:textId="428B376B" w:rsidR="00B1113E" w:rsidRPr="00205DFE" w:rsidRDefault="00B1113E" w:rsidP="00B1113E">
            <w:pPr>
              <w:pStyle w:val="ListParagraph"/>
              <w:tabs>
                <w:tab w:val="left" w:pos="338"/>
              </w:tabs>
              <w:spacing w:after="0"/>
              <w:ind w:left="0" w:right="-54"/>
              <w:rPr>
                <w:b/>
                <w:bCs/>
                <w:iCs/>
                <w:sz w:val="20"/>
                <w:szCs w:val="20"/>
              </w:rPr>
            </w:pPr>
          </w:p>
        </w:tc>
        <w:tc>
          <w:tcPr>
            <w:tcW w:w="4543" w:type="dxa"/>
            <w:vAlign w:val="center"/>
          </w:tcPr>
          <w:p w14:paraId="2ADDBBD7" w14:textId="13FB2ECA" w:rsidR="00B1113E" w:rsidRPr="00B1113E" w:rsidRDefault="00B1113E" w:rsidP="00B1113E">
            <w:pPr>
              <w:spacing w:after="0"/>
              <w:ind w:right="-54"/>
              <w:jc w:val="right"/>
              <w:rPr>
                <w:b/>
                <w:bCs/>
                <w:iCs/>
                <w:sz w:val="20"/>
                <w:szCs w:val="20"/>
              </w:rPr>
            </w:pPr>
            <w:r w:rsidRPr="00B1113E">
              <w:rPr>
                <w:b/>
                <w:bCs/>
                <w:iCs/>
                <w:sz w:val="20"/>
                <w:szCs w:val="20"/>
              </w:rPr>
              <w:t>$34.244.524</w:t>
            </w:r>
          </w:p>
        </w:tc>
      </w:tr>
      <w:tr w:rsidR="00B1113E" w:rsidRPr="00205DFE" w14:paraId="5B934BE9" w14:textId="77777777" w:rsidTr="00B1113E">
        <w:trPr>
          <w:trHeight w:val="332"/>
          <w:jc w:val="center"/>
        </w:trPr>
        <w:tc>
          <w:tcPr>
            <w:tcW w:w="1811" w:type="dxa"/>
          </w:tcPr>
          <w:p w14:paraId="4EAF6418" w14:textId="168B9744" w:rsidR="00B1113E" w:rsidRPr="00231D82" w:rsidRDefault="00B1113E" w:rsidP="00B1113E">
            <w:pPr>
              <w:tabs>
                <w:tab w:val="left" w:pos="63"/>
              </w:tabs>
              <w:spacing w:after="0"/>
              <w:rPr>
                <w:b/>
                <w:bCs/>
                <w:iCs/>
                <w:sz w:val="20"/>
                <w:szCs w:val="20"/>
              </w:rPr>
            </w:pPr>
            <w:r w:rsidRPr="00084FA0">
              <w:t xml:space="preserve">Implement a comprehensive advocacy and communication </w:t>
            </w:r>
            <w:r>
              <w:t>strategy</w:t>
            </w:r>
          </w:p>
        </w:tc>
        <w:tc>
          <w:tcPr>
            <w:tcW w:w="4385" w:type="dxa"/>
          </w:tcPr>
          <w:p w14:paraId="5F6E1642" w14:textId="77777777" w:rsidR="00B1113E" w:rsidRPr="0099148F" w:rsidRDefault="00B1113E" w:rsidP="00B1113E">
            <w:pPr>
              <w:pStyle w:val="ListParagraph"/>
              <w:tabs>
                <w:tab w:val="left" w:pos="338"/>
              </w:tabs>
              <w:spacing w:after="0"/>
              <w:ind w:left="0" w:right="-57"/>
              <w:rPr>
                <w:b/>
                <w:bCs/>
                <w:iCs/>
                <w:sz w:val="20"/>
                <w:szCs w:val="20"/>
              </w:rPr>
            </w:pPr>
            <w:r w:rsidRPr="0099148F">
              <w:rPr>
                <w:b/>
                <w:bCs/>
                <w:iCs/>
                <w:sz w:val="20"/>
                <w:szCs w:val="20"/>
              </w:rPr>
              <w:t xml:space="preserve">Effective advocacy and communication interventions are of key importance to further increase case detection. Under this strategy, a revised plan for advocacy and communication will be completed and circulated to all stakeholders. The strategy will have the general Objective to create mass awareness and sensitization among stakeholders of National TB control </w:t>
            </w:r>
            <w:proofErr w:type="spellStart"/>
            <w:r w:rsidRPr="0099148F">
              <w:rPr>
                <w:b/>
                <w:bCs/>
                <w:iCs/>
                <w:sz w:val="20"/>
                <w:szCs w:val="20"/>
              </w:rPr>
              <w:t>Programme</w:t>
            </w:r>
            <w:proofErr w:type="spellEnd"/>
            <w:r w:rsidRPr="0099148F">
              <w:rPr>
                <w:b/>
                <w:bCs/>
                <w:iCs/>
                <w:sz w:val="20"/>
                <w:szCs w:val="20"/>
              </w:rPr>
              <w:t xml:space="preserve"> at all levels.  Specific Objectives will be:</w:t>
            </w:r>
          </w:p>
          <w:p w14:paraId="1D58DE23"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ensure enabling policy environment towards achieving multi-sectoral response on TB</w:t>
            </w:r>
          </w:p>
          <w:p w14:paraId="754E975D"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create greater awareness on TB Diagnosis, Treatment and Prevention at National Scale in order to enhance people’s access to TB information and services</w:t>
            </w:r>
          </w:p>
          <w:p w14:paraId="6311C2E5"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strengthen engagement of all health authorities and service providers of public and private health care including formal / non-formal service providers</w:t>
            </w:r>
          </w:p>
          <w:p w14:paraId="3B6EABA0"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enhance empowerment of people with TB and their communities</w:t>
            </w:r>
          </w:p>
          <w:p w14:paraId="1FBAEA33"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contribute to strengthening of health systems</w:t>
            </w:r>
          </w:p>
          <w:p w14:paraId="60B76E88" w14:textId="77777777" w:rsidR="00B1113E" w:rsidRPr="0099148F"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enhance collaboration of GO/NGO stakeholders</w:t>
            </w:r>
          </w:p>
          <w:p w14:paraId="399FD88B" w14:textId="0ED2138D" w:rsidR="00B1113E" w:rsidRPr="009D2777" w:rsidRDefault="00B1113E" w:rsidP="00B1113E">
            <w:pPr>
              <w:pStyle w:val="ListParagraph"/>
              <w:numPr>
                <w:ilvl w:val="0"/>
                <w:numId w:val="11"/>
              </w:numPr>
              <w:tabs>
                <w:tab w:val="left" w:pos="338"/>
              </w:tabs>
              <w:spacing w:after="0"/>
              <w:ind w:right="-54"/>
              <w:contextualSpacing w:val="0"/>
              <w:rPr>
                <w:b/>
                <w:bCs/>
                <w:iCs/>
                <w:sz w:val="20"/>
                <w:szCs w:val="20"/>
              </w:rPr>
            </w:pPr>
            <w:r w:rsidRPr="0099148F">
              <w:rPr>
                <w:b/>
                <w:bCs/>
                <w:iCs/>
                <w:sz w:val="20"/>
                <w:szCs w:val="20"/>
              </w:rPr>
              <w:t>To enhance collaboration with diagnostic network</w:t>
            </w:r>
          </w:p>
        </w:tc>
        <w:tc>
          <w:tcPr>
            <w:tcW w:w="4543" w:type="dxa"/>
            <w:vAlign w:val="center"/>
          </w:tcPr>
          <w:p w14:paraId="44430E95" w14:textId="263EBED2" w:rsidR="00B1113E" w:rsidRPr="00B1113E" w:rsidRDefault="00B1113E" w:rsidP="00B1113E">
            <w:pPr>
              <w:spacing w:after="0"/>
              <w:ind w:right="-54"/>
              <w:jc w:val="right"/>
              <w:rPr>
                <w:b/>
                <w:bCs/>
                <w:iCs/>
                <w:sz w:val="20"/>
                <w:szCs w:val="20"/>
              </w:rPr>
            </w:pPr>
            <w:r w:rsidRPr="00B1113E">
              <w:rPr>
                <w:b/>
                <w:bCs/>
                <w:iCs/>
                <w:sz w:val="20"/>
                <w:szCs w:val="20"/>
              </w:rPr>
              <w:t>$</w:t>
            </w:r>
            <w:r>
              <w:t xml:space="preserve"> </w:t>
            </w:r>
            <w:r w:rsidRPr="00B1113E">
              <w:rPr>
                <w:b/>
                <w:bCs/>
                <w:iCs/>
                <w:sz w:val="20"/>
                <w:szCs w:val="20"/>
              </w:rPr>
              <w:t>51,887</w:t>
            </w:r>
          </w:p>
        </w:tc>
      </w:tr>
      <w:tr w:rsidR="00B1113E" w:rsidRPr="00205DFE" w14:paraId="0C598C35" w14:textId="77777777" w:rsidTr="00B1113E">
        <w:trPr>
          <w:trHeight w:val="332"/>
          <w:jc w:val="center"/>
        </w:trPr>
        <w:tc>
          <w:tcPr>
            <w:tcW w:w="1811" w:type="dxa"/>
          </w:tcPr>
          <w:p w14:paraId="155CE486" w14:textId="6208A317" w:rsidR="00B1113E" w:rsidRPr="00231D82" w:rsidRDefault="00B1113E" w:rsidP="00B1113E">
            <w:pPr>
              <w:tabs>
                <w:tab w:val="left" w:pos="63"/>
              </w:tabs>
              <w:spacing w:after="0"/>
              <w:rPr>
                <w:b/>
                <w:bCs/>
                <w:iCs/>
                <w:sz w:val="20"/>
                <w:szCs w:val="20"/>
              </w:rPr>
            </w:pPr>
            <w:r w:rsidRPr="00084FA0">
              <w:t>Strengthen the engagement of private providers in TB control activities</w:t>
            </w:r>
          </w:p>
        </w:tc>
        <w:tc>
          <w:tcPr>
            <w:tcW w:w="4385" w:type="dxa"/>
          </w:tcPr>
          <w:p w14:paraId="5352E29D" w14:textId="0C478E85" w:rsidR="00B1113E" w:rsidRPr="0099148F" w:rsidRDefault="00B1113E" w:rsidP="00B1113E">
            <w:pPr>
              <w:pStyle w:val="ListParagraph"/>
              <w:tabs>
                <w:tab w:val="left" w:pos="338"/>
              </w:tabs>
              <w:spacing w:after="0"/>
              <w:ind w:left="0" w:right="-57"/>
              <w:rPr>
                <w:b/>
                <w:bCs/>
                <w:iCs/>
                <w:sz w:val="20"/>
                <w:szCs w:val="20"/>
              </w:rPr>
            </w:pPr>
            <w:r w:rsidRPr="0099148F">
              <w:rPr>
                <w:b/>
                <w:bCs/>
                <w:iCs/>
                <w:sz w:val="20"/>
                <w:szCs w:val="20"/>
              </w:rPr>
              <w:t xml:space="preserve">Public-private mix (PPM), or the involvement of all care providers, is particularly important in Bangladesh, where </w:t>
            </w:r>
            <w:r>
              <w:rPr>
                <w:b/>
                <w:bCs/>
                <w:iCs/>
                <w:sz w:val="20"/>
                <w:szCs w:val="20"/>
              </w:rPr>
              <w:t>a large proportion of</w:t>
            </w:r>
            <w:r w:rsidRPr="0099148F">
              <w:rPr>
                <w:b/>
                <w:bCs/>
                <w:iCs/>
                <w:sz w:val="20"/>
                <w:szCs w:val="20"/>
              </w:rPr>
              <w:t xml:space="preserve"> presumptive TB cases </w:t>
            </w:r>
            <w:r>
              <w:rPr>
                <w:b/>
                <w:bCs/>
                <w:iCs/>
                <w:sz w:val="20"/>
                <w:szCs w:val="20"/>
              </w:rPr>
              <w:t>seek care</w:t>
            </w:r>
            <w:r w:rsidRPr="0099148F">
              <w:rPr>
                <w:b/>
                <w:bCs/>
                <w:iCs/>
                <w:sz w:val="20"/>
                <w:szCs w:val="20"/>
              </w:rPr>
              <w:t xml:space="preserve"> first to the private sector. There </w:t>
            </w:r>
            <w:r w:rsidRPr="0099148F">
              <w:rPr>
                <w:b/>
                <w:bCs/>
                <w:iCs/>
                <w:sz w:val="20"/>
                <w:szCs w:val="20"/>
              </w:rPr>
              <w:lastRenderedPageBreak/>
              <w:t>are more than 90,000 registered physicians in Bangladesh, 53% (approx.) of whom operate exclusively in the private sector.</w:t>
            </w:r>
            <w:r>
              <w:rPr>
                <w:b/>
                <w:bCs/>
                <w:iCs/>
                <w:sz w:val="20"/>
                <w:szCs w:val="20"/>
              </w:rPr>
              <w:t xml:space="preserve"> Current examples of collaboration include t</w:t>
            </w:r>
            <w:r w:rsidRPr="00BA4FE7">
              <w:rPr>
                <w:b/>
                <w:bCs/>
                <w:iCs/>
                <w:sz w:val="20"/>
                <w:szCs w:val="20"/>
              </w:rPr>
              <w:t>he SMC model</w:t>
            </w:r>
            <w:r>
              <w:rPr>
                <w:b/>
                <w:bCs/>
                <w:iCs/>
                <w:sz w:val="20"/>
                <w:szCs w:val="20"/>
              </w:rPr>
              <w:t xml:space="preserve">, which </w:t>
            </w:r>
            <w:r w:rsidRPr="00BA4FE7">
              <w:rPr>
                <w:b/>
                <w:bCs/>
                <w:iCs/>
                <w:sz w:val="20"/>
                <w:szCs w:val="20"/>
              </w:rPr>
              <w:t xml:space="preserve">engages blue star and green star pharmacy (aka. drug selling) outlets and call center (tele </w:t>
            </w:r>
            <w:proofErr w:type="spellStart"/>
            <w:r w:rsidRPr="00BA4FE7">
              <w:rPr>
                <w:b/>
                <w:bCs/>
                <w:iCs/>
                <w:sz w:val="20"/>
                <w:szCs w:val="20"/>
              </w:rPr>
              <w:t>jiggasa</w:t>
            </w:r>
            <w:proofErr w:type="spellEnd"/>
            <w:r w:rsidRPr="00BA4FE7">
              <w:rPr>
                <w:b/>
                <w:bCs/>
                <w:iCs/>
                <w:sz w:val="20"/>
                <w:szCs w:val="20"/>
              </w:rPr>
              <w:t>).</w:t>
            </w:r>
          </w:p>
          <w:p w14:paraId="4FDBD399" w14:textId="77777777" w:rsidR="00B1113E" w:rsidRDefault="00B1113E" w:rsidP="00B1113E">
            <w:pPr>
              <w:pStyle w:val="ListParagraph"/>
              <w:tabs>
                <w:tab w:val="left" w:pos="338"/>
              </w:tabs>
              <w:spacing w:after="0"/>
              <w:ind w:left="0" w:right="-54"/>
              <w:rPr>
                <w:b/>
                <w:bCs/>
                <w:iCs/>
                <w:sz w:val="20"/>
                <w:szCs w:val="20"/>
              </w:rPr>
            </w:pPr>
            <w:bookmarkStart w:id="12" w:name="_Hlk33696567"/>
            <w:r w:rsidRPr="0099148F">
              <w:rPr>
                <w:b/>
                <w:bCs/>
                <w:iCs/>
                <w:sz w:val="20"/>
                <w:szCs w:val="20"/>
              </w:rPr>
              <w:t>This strategy involve</w:t>
            </w:r>
            <w:r>
              <w:rPr>
                <w:b/>
                <w:bCs/>
                <w:iCs/>
                <w:sz w:val="20"/>
                <w:szCs w:val="20"/>
              </w:rPr>
              <w:t>s a</w:t>
            </w:r>
            <w:r w:rsidRPr="0099148F">
              <w:rPr>
                <w:b/>
                <w:bCs/>
                <w:iCs/>
                <w:sz w:val="20"/>
                <w:szCs w:val="20"/>
              </w:rPr>
              <w:t xml:space="preserve"> </w:t>
            </w:r>
            <w:r>
              <w:rPr>
                <w:b/>
                <w:bCs/>
                <w:iCs/>
                <w:sz w:val="20"/>
                <w:szCs w:val="20"/>
              </w:rPr>
              <w:t>r</w:t>
            </w:r>
            <w:r w:rsidRPr="005B2710">
              <w:rPr>
                <w:b/>
                <w:bCs/>
                <w:iCs/>
                <w:sz w:val="20"/>
                <w:szCs w:val="20"/>
              </w:rPr>
              <w:t xml:space="preserve">eview of </w:t>
            </w:r>
            <w:r>
              <w:rPr>
                <w:b/>
                <w:bCs/>
                <w:iCs/>
                <w:sz w:val="20"/>
                <w:szCs w:val="20"/>
              </w:rPr>
              <w:t xml:space="preserve">all </w:t>
            </w:r>
            <w:r w:rsidRPr="005B2710">
              <w:rPr>
                <w:b/>
                <w:bCs/>
                <w:iCs/>
                <w:sz w:val="20"/>
                <w:szCs w:val="20"/>
              </w:rPr>
              <w:t>existing  PPM models in different settings and identi</w:t>
            </w:r>
            <w:r>
              <w:rPr>
                <w:b/>
                <w:bCs/>
                <w:iCs/>
                <w:sz w:val="20"/>
                <w:szCs w:val="20"/>
              </w:rPr>
              <w:t xml:space="preserve">fication of the </w:t>
            </w:r>
            <w:r w:rsidRPr="005B2710">
              <w:rPr>
                <w:b/>
                <w:bCs/>
                <w:iCs/>
                <w:sz w:val="20"/>
                <w:szCs w:val="20"/>
              </w:rPr>
              <w:t xml:space="preserve"> model for scale up/ Identify new model  (year 1)</w:t>
            </w:r>
            <w:r>
              <w:rPr>
                <w:b/>
                <w:bCs/>
                <w:iCs/>
                <w:sz w:val="20"/>
                <w:szCs w:val="20"/>
              </w:rPr>
              <w:t>, the s</w:t>
            </w:r>
            <w:r w:rsidRPr="005B2710">
              <w:rPr>
                <w:b/>
                <w:bCs/>
                <w:iCs/>
                <w:sz w:val="20"/>
                <w:szCs w:val="20"/>
              </w:rPr>
              <w:t xml:space="preserve">cale up </w:t>
            </w:r>
            <w:r>
              <w:rPr>
                <w:b/>
                <w:bCs/>
                <w:iCs/>
                <w:sz w:val="20"/>
                <w:szCs w:val="20"/>
              </w:rPr>
              <w:t xml:space="preserve">of </w:t>
            </w:r>
            <w:r w:rsidRPr="005B2710">
              <w:rPr>
                <w:b/>
                <w:bCs/>
                <w:iCs/>
                <w:sz w:val="20"/>
                <w:szCs w:val="20"/>
              </w:rPr>
              <w:t>models ( year 2 and 3)</w:t>
            </w:r>
            <w:r>
              <w:rPr>
                <w:b/>
                <w:bCs/>
                <w:iCs/>
                <w:sz w:val="20"/>
                <w:szCs w:val="20"/>
              </w:rPr>
              <w:t xml:space="preserve">, the </w:t>
            </w:r>
            <w:r w:rsidRPr="0099148F">
              <w:rPr>
                <w:b/>
                <w:bCs/>
                <w:iCs/>
                <w:sz w:val="20"/>
                <w:szCs w:val="20"/>
              </w:rPr>
              <w:t>provision of NTP drug supply through the private providers (formal and informal) and supportive supervision, monitoring and recording and reporting both at central and peripheral levels.</w:t>
            </w:r>
          </w:p>
          <w:bookmarkEnd w:id="12"/>
          <w:p w14:paraId="27B79D95" w14:textId="05A71DA6" w:rsidR="00B1113E" w:rsidRPr="00205DFE" w:rsidRDefault="00B1113E" w:rsidP="00B1113E">
            <w:pPr>
              <w:pStyle w:val="ListParagraph"/>
              <w:tabs>
                <w:tab w:val="left" w:pos="338"/>
              </w:tabs>
              <w:spacing w:after="0"/>
              <w:ind w:left="0" w:right="-54"/>
              <w:rPr>
                <w:b/>
                <w:bCs/>
                <w:iCs/>
                <w:sz w:val="20"/>
                <w:szCs w:val="20"/>
              </w:rPr>
            </w:pPr>
          </w:p>
        </w:tc>
        <w:tc>
          <w:tcPr>
            <w:tcW w:w="4543" w:type="dxa"/>
            <w:vAlign w:val="center"/>
          </w:tcPr>
          <w:p w14:paraId="4A2519BF" w14:textId="502B440C" w:rsidR="00B1113E" w:rsidRPr="00B1113E" w:rsidRDefault="00B1113E" w:rsidP="00B1113E">
            <w:pPr>
              <w:spacing w:after="0"/>
              <w:ind w:right="-54"/>
              <w:jc w:val="right"/>
              <w:rPr>
                <w:b/>
                <w:bCs/>
                <w:iCs/>
                <w:sz w:val="20"/>
                <w:szCs w:val="20"/>
              </w:rPr>
            </w:pPr>
            <w:r w:rsidRPr="00B1113E">
              <w:rPr>
                <w:b/>
                <w:bCs/>
                <w:iCs/>
                <w:sz w:val="20"/>
                <w:szCs w:val="20"/>
              </w:rPr>
              <w:lastRenderedPageBreak/>
              <w:t>$4.603.558</w:t>
            </w:r>
          </w:p>
        </w:tc>
      </w:tr>
      <w:tr w:rsidR="00B1113E" w:rsidRPr="00205DFE" w14:paraId="2C17FFAC" w14:textId="77777777" w:rsidTr="00B1113E">
        <w:trPr>
          <w:trHeight w:val="332"/>
          <w:jc w:val="center"/>
        </w:trPr>
        <w:tc>
          <w:tcPr>
            <w:tcW w:w="1811" w:type="dxa"/>
          </w:tcPr>
          <w:p w14:paraId="66B5FDAC" w14:textId="1BCF0CF5" w:rsidR="00B1113E" w:rsidRPr="00084FA0" w:rsidRDefault="00B1113E" w:rsidP="00B1113E">
            <w:pPr>
              <w:tabs>
                <w:tab w:val="left" w:pos="63"/>
              </w:tabs>
              <w:spacing w:after="0"/>
            </w:pPr>
            <w:r w:rsidRPr="008E6331">
              <w:lastRenderedPageBreak/>
              <w:t>Workforce development</w:t>
            </w:r>
          </w:p>
        </w:tc>
        <w:tc>
          <w:tcPr>
            <w:tcW w:w="4385" w:type="dxa"/>
          </w:tcPr>
          <w:p w14:paraId="6D7E6A4A" w14:textId="77777777" w:rsidR="00B1113E" w:rsidRPr="008E6331" w:rsidRDefault="00B1113E" w:rsidP="00B1113E">
            <w:pPr>
              <w:pStyle w:val="ListParagraph"/>
              <w:tabs>
                <w:tab w:val="left" w:pos="338"/>
              </w:tabs>
              <w:spacing w:after="0"/>
              <w:ind w:left="0" w:right="-57"/>
              <w:rPr>
                <w:b/>
                <w:bCs/>
                <w:iCs/>
                <w:sz w:val="20"/>
                <w:szCs w:val="20"/>
              </w:rPr>
            </w:pPr>
            <w:r w:rsidRPr="008E6331">
              <w:rPr>
                <w:b/>
                <w:bCs/>
                <w:iCs/>
                <w:sz w:val="20"/>
                <w:szCs w:val="20"/>
              </w:rPr>
              <w:t xml:space="preserve">The NTP is overall responsible for training of all categories of health workers (medical doctors, nurses, laboratory technicians, paramedical staff, field-level staff, community health workers and volunteers, NGO staff, corporate sector health workforce, graduate and non-graduate private practitioners) at all service delivery levels. Partners can be involved based on their comparative advantage. </w:t>
            </w:r>
          </w:p>
          <w:p w14:paraId="6ED19755" w14:textId="09322BA0" w:rsidR="00B1113E" w:rsidRPr="0099148F" w:rsidRDefault="00B1113E" w:rsidP="00B1113E">
            <w:pPr>
              <w:pStyle w:val="ListParagraph"/>
              <w:tabs>
                <w:tab w:val="left" w:pos="338"/>
              </w:tabs>
              <w:spacing w:after="0"/>
              <w:ind w:left="0" w:right="-57"/>
              <w:rPr>
                <w:b/>
                <w:bCs/>
                <w:iCs/>
                <w:sz w:val="20"/>
                <w:szCs w:val="20"/>
              </w:rPr>
            </w:pPr>
            <w:r w:rsidRPr="008E6331">
              <w:rPr>
                <w:b/>
                <w:bCs/>
                <w:iCs/>
                <w:sz w:val="20"/>
                <w:szCs w:val="20"/>
              </w:rPr>
              <w:t xml:space="preserve">In-service training </w:t>
            </w:r>
            <w:proofErr w:type="spellStart"/>
            <w:r w:rsidRPr="008E6331">
              <w:rPr>
                <w:b/>
                <w:bCs/>
                <w:iCs/>
                <w:sz w:val="20"/>
                <w:szCs w:val="20"/>
              </w:rPr>
              <w:t>programmes</w:t>
            </w:r>
            <w:proofErr w:type="spellEnd"/>
            <w:r w:rsidRPr="008E6331">
              <w:rPr>
                <w:b/>
                <w:bCs/>
                <w:iCs/>
                <w:sz w:val="20"/>
                <w:szCs w:val="20"/>
              </w:rPr>
              <w:t xml:space="preserve"> for different categories of health workers involved in the implementation of NTP activities will be updated to include new developments in different components of TB control. A comprehensive training package will be developed to strengthen the involvement of strategic partners. </w:t>
            </w:r>
          </w:p>
        </w:tc>
        <w:tc>
          <w:tcPr>
            <w:tcW w:w="4543" w:type="dxa"/>
            <w:vAlign w:val="center"/>
          </w:tcPr>
          <w:p w14:paraId="79A78EA3" w14:textId="26DE5E52" w:rsidR="00B1113E" w:rsidRPr="00B1113E" w:rsidRDefault="00B1113E" w:rsidP="00B1113E">
            <w:pPr>
              <w:spacing w:after="0"/>
              <w:ind w:right="-54"/>
              <w:jc w:val="right"/>
              <w:rPr>
                <w:b/>
                <w:bCs/>
                <w:iCs/>
                <w:sz w:val="20"/>
                <w:szCs w:val="20"/>
              </w:rPr>
            </w:pPr>
            <w:r w:rsidRPr="00E929BA">
              <w:rPr>
                <w:b/>
                <w:bCs/>
                <w:iCs/>
                <w:sz w:val="20"/>
                <w:szCs w:val="20"/>
              </w:rPr>
              <w:t>$2.722.10</w:t>
            </w:r>
            <w:r>
              <w:rPr>
                <w:b/>
                <w:bCs/>
                <w:iCs/>
                <w:sz w:val="20"/>
                <w:szCs w:val="20"/>
              </w:rPr>
              <w:t>5</w:t>
            </w:r>
          </w:p>
        </w:tc>
      </w:tr>
      <w:tr w:rsidR="00B1113E" w:rsidRPr="00205DFE" w14:paraId="08E78B90" w14:textId="77777777" w:rsidTr="00B1113E">
        <w:trPr>
          <w:trHeight w:val="368"/>
          <w:jc w:val="center"/>
        </w:trPr>
        <w:tc>
          <w:tcPr>
            <w:tcW w:w="1811" w:type="dxa"/>
            <w:vAlign w:val="center"/>
          </w:tcPr>
          <w:p w14:paraId="6B1A53B2" w14:textId="77777777" w:rsidR="00B1113E" w:rsidRPr="005E57A8" w:rsidRDefault="00B1113E" w:rsidP="00B1113E">
            <w:pPr>
              <w:pStyle w:val="ListParagraph"/>
              <w:tabs>
                <w:tab w:val="left" w:pos="63"/>
              </w:tabs>
              <w:spacing w:after="0"/>
              <w:ind w:left="63"/>
              <w:contextualSpacing w:val="0"/>
              <w:rPr>
                <w:bCs/>
                <w:i/>
                <w:iCs/>
                <w:sz w:val="20"/>
                <w:szCs w:val="20"/>
              </w:rPr>
            </w:pPr>
            <w:r w:rsidRPr="005E57A8">
              <w:rPr>
                <w:bCs/>
                <w:i/>
                <w:iCs/>
                <w:sz w:val="20"/>
                <w:szCs w:val="20"/>
              </w:rPr>
              <w:t>Add rows as relevant</w:t>
            </w:r>
          </w:p>
        </w:tc>
        <w:tc>
          <w:tcPr>
            <w:tcW w:w="4385" w:type="dxa"/>
          </w:tcPr>
          <w:p w14:paraId="6C09CEC5" w14:textId="77777777" w:rsidR="00B1113E" w:rsidRPr="00205DFE" w:rsidRDefault="00B1113E" w:rsidP="00B1113E">
            <w:pPr>
              <w:pStyle w:val="ListParagraph"/>
              <w:tabs>
                <w:tab w:val="left" w:pos="338"/>
              </w:tabs>
              <w:spacing w:after="0"/>
              <w:ind w:left="0" w:right="-54"/>
              <w:contextualSpacing w:val="0"/>
              <w:rPr>
                <w:b/>
                <w:bCs/>
                <w:iCs/>
                <w:sz w:val="20"/>
                <w:szCs w:val="20"/>
              </w:rPr>
            </w:pPr>
          </w:p>
        </w:tc>
        <w:tc>
          <w:tcPr>
            <w:tcW w:w="4543" w:type="dxa"/>
            <w:vAlign w:val="center"/>
          </w:tcPr>
          <w:p w14:paraId="4F4E4630" w14:textId="7F2EC5E6" w:rsidR="00B1113E" w:rsidRPr="00205DFE" w:rsidRDefault="00B1113E" w:rsidP="00B1113E">
            <w:pPr>
              <w:spacing w:after="0"/>
              <w:ind w:right="-54"/>
              <w:jc w:val="right"/>
              <w:rPr>
                <w:b/>
                <w:bCs/>
                <w:iCs/>
                <w:sz w:val="20"/>
                <w:szCs w:val="20"/>
              </w:rPr>
            </w:pPr>
          </w:p>
        </w:tc>
      </w:tr>
      <w:tr w:rsidR="00B1113E" w:rsidRPr="00205DFE" w14:paraId="2358020B" w14:textId="77777777" w:rsidTr="00B1113E">
        <w:trPr>
          <w:trHeight w:val="368"/>
          <w:jc w:val="center"/>
        </w:trPr>
        <w:tc>
          <w:tcPr>
            <w:tcW w:w="1811" w:type="dxa"/>
            <w:vAlign w:val="center"/>
          </w:tcPr>
          <w:p w14:paraId="0A887ED4" w14:textId="77777777" w:rsidR="00B1113E" w:rsidRPr="005E57A8" w:rsidRDefault="00B1113E" w:rsidP="00B1113E">
            <w:pPr>
              <w:pStyle w:val="ListParagraph"/>
              <w:tabs>
                <w:tab w:val="left" w:pos="63"/>
              </w:tabs>
              <w:spacing w:after="0"/>
              <w:ind w:left="63"/>
              <w:contextualSpacing w:val="0"/>
              <w:rPr>
                <w:bCs/>
                <w:i/>
                <w:iCs/>
                <w:sz w:val="20"/>
                <w:szCs w:val="20"/>
              </w:rPr>
            </w:pPr>
          </w:p>
        </w:tc>
        <w:tc>
          <w:tcPr>
            <w:tcW w:w="4385" w:type="dxa"/>
          </w:tcPr>
          <w:p w14:paraId="317643D0" w14:textId="77777777" w:rsidR="00B1113E" w:rsidRPr="00205DFE" w:rsidRDefault="00B1113E" w:rsidP="00B1113E">
            <w:pPr>
              <w:pStyle w:val="ListParagraph"/>
              <w:tabs>
                <w:tab w:val="left" w:pos="338"/>
              </w:tabs>
              <w:spacing w:after="0"/>
              <w:ind w:left="0" w:right="-54"/>
              <w:contextualSpacing w:val="0"/>
              <w:rPr>
                <w:b/>
                <w:bCs/>
                <w:iCs/>
                <w:sz w:val="20"/>
                <w:szCs w:val="20"/>
              </w:rPr>
            </w:pPr>
          </w:p>
        </w:tc>
        <w:tc>
          <w:tcPr>
            <w:tcW w:w="4543" w:type="dxa"/>
            <w:vAlign w:val="center"/>
          </w:tcPr>
          <w:p w14:paraId="21145044" w14:textId="77777777" w:rsidR="00B1113E" w:rsidRPr="00205DFE" w:rsidRDefault="00B1113E" w:rsidP="00B1113E">
            <w:pPr>
              <w:spacing w:after="0"/>
              <w:ind w:right="-54"/>
              <w:jc w:val="right"/>
              <w:rPr>
                <w:b/>
                <w:bCs/>
                <w:iCs/>
                <w:sz w:val="20"/>
                <w:szCs w:val="20"/>
              </w:rPr>
            </w:pPr>
          </w:p>
        </w:tc>
      </w:tr>
    </w:tbl>
    <w:p w14:paraId="26A03184" w14:textId="4F2C376F" w:rsidR="00291580" w:rsidRDefault="00291580"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8E6331" w14:paraId="43081979" w14:textId="77777777" w:rsidTr="007822C8">
        <w:trPr>
          <w:trHeight w:val="350"/>
          <w:jc w:val="center"/>
        </w:trPr>
        <w:tc>
          <w:tcPr>
            <w:tcW w:w="10739" w:type="dxa"/>
            <w:gridSpan w:val="3"/>
            <w:shd w:val="clear" w:color="auto" w:fill="F9FBFD" w:themeFill="text2" w:themeFillTint="33"/>
            <w:vAlign w:val="center"/>
          </w:tcPr>
          <w:p w14:paraId="411AFA7B" w14:textId="34139A25" w:rsidR="008E6331" w:rsidRDefault="008E6331" w:rsidP="007822C8">
            <w:pPr>
              <w:spacing w:after="0"/>
              <w:rPr>
                <w:iCs/>
                <w:sz w:val="20"/>
                <w:szCs w:val="20"/>
              </w:rPr>
            </w:pPr>
            <w:r>
              <w:rPr>
                <w:sz w:val="20"/>
                <w:szCs w:val="20"/>
              </w:rPr>
              <w:t xml:space="preserve">NSP Strategic Area #: </w:t>
            </w:r>
            <w:r w:rsidR="009D2777" w:rsidRPr="009D2777">
              <w:rPr>
                <w:sz w:val="20"/>
                <w:szCs w:val="20"/>
              </w:rPr>
              <w:t>Case finding, diagnosis and treatment of Childhood TB cases</w:t>
            </w:r>
          </w:p>
        </w:tc>
      </w:tr>
      <w:tr w:rsidR="008E6331" w:rsidRPr="00205DFE" w14:paraId="639218EE" w14:textId="77777777" w:rsidTr="007822C8">
        <w:trPr>
          <w:trHeight w:val="736"/>
          <w:jc w:val="center"/>
        </w:trPr>
        <w:tc>
          <w:tcPr>
            <w:tcW w:w="2369" w:type="dxa"/>
            <w:shd w:val="clear" w:color="auto" w:fill="F9FBFD" w:themeFill="text2" w:themeFillTint="33"/>
            <w:vAlign w:val="center"/>
          </w:tcPr>
          <w:p w14:paraId="28C61A2A" w14:textId="77777777" w:rsidR="008E6331" w:rsidRPr="00205DFE" w:rsidRDefault="008E6331" w:rsidP="007822C8">
            <w:pPr>
              <w:spacing w:after="0"/>
              <w:jc w:val="center"/>
              <w:rPr>
                <w:sz w:val="20"/>
                <w:szCs w:val="20"/>
              </w:rPr>
            </w:pPr>
            <w:r>
              <w:rPr>
                <w:sz w:val="20"/>
                <w:szCs w:val="20"/>
              </w:rPr>
              <w:t>Intervention</w:t>
            </w:r>
          </w:p>
        </w:tc>
        <w:tc>
          <w:tcPr>
            <w:tcW w:w="5625" w:type="dxa"/>
            <w:shd w:val="clear" w:color="auto" w:fill="F9FBFD" w:themeFill="text2" w:themeFillTint="33"/>
            <w:vAlign w:val="center"/>
          </w:tcPr>
          <w:p w14:paraId="52E6839D" w14:textId="77777777" w:rsidR="008E6331" w:rsidRPr="00205DFE" w:rsidRDefault="008E6331" w:rsidP="007822C8">
            <w:pPr>
              <w:spacing w:after="0"/>
              <w:jc w:val="center"/>
              <w:rPr>
                <w:iCs/>
                <w:sz w:val="20"/>
                <w:szCs w:val="20"/>
              </w:rPr>
            </w:pPr>
            <w:r>
              <w:rPr>
                <w:sz w:val="20"/>
                <w:szCs w:val="20"/>
              </w:rPr>
              <w:t>R</w:t>
            </w:r>
            <w:r w:rsidRPr="00283CBB">
              <w:rPr>
                <w:sz w:val="20"/>
                <w:szCs w:val="20"/>
              </w:rPr>
              <w:t>ationale for prioritization</w:t>
            </w:r>
            <w:r>
              <w:rPr>
                <w:sz w:val="20"/>
                <w:szCs w:val="20"/>
              </w:rPr>
              <w:t xml:space="preserve"> for Global Fund funding </w:t>
            </w:r>
          </w:p>
        </w:tc>
        <w:tc>
          <w:tcPr>
            <w:tcW w:w="2745" w:type="dxa"/>
            <w:shd w:val="clear" w:color="auto" w:fill="F9FBFD" w:themeFill="text2" w:themeFillTint="33"/>
            <w:vAlign w:val="center"/>
          </w:tcPr>
          <w:p w14:paraId="70540D60" w14:textId="77777777" w:rsidR="008E6331" w:rsidRPr="00205DFE" w:rsidRDefault="008E6331" w:rsidP="007822C8">
            <w:pPr>
              <w:spacing w:after="0"/>
              <w:jc w:val="center"/>
              <w:rPr>
                <w:iCs/>
                <w:sz w:val="20"/>
                <w:szCs w:val="20"/>
              </w:rPr>
            </w:pPr>
            <w:r>
              <w:rPr>
                <w:iCs/>
                <w:sz w:val="20"/>
                <w:szCs w:val="20"/>
              </w:rPr>
              <w:t xml:space="preserve">Amount requested </w:t>
            </w:r>
            <w:r>
              <w:rPr>
                <w:iCs/>
                <w:sz w:val="20"/>
                <w:szCs w:val="20"/>
              </w:rPr>
              <w:br/>
              <w:t xml:space="preserve">from the Global Fund </w:t>
            </w:r>
            <w:r>
              <w:rPr>
                <w:iCs/>
                <w:sz w:val="20"/>
                <w:szCs w:val="20"/>
              </w:rPr>
              <w:br/>
            </w:r>
          </w:p>
        </w:tc>
      </w:tr>
      <w:tr w:rsidR="00B1113E" w:rsidRPr="00205DFE" w14:paraId="0D5241BC" w14:textId="77777777" w:rsidTr="007822C8">
        <w:trPr>
          <w:trHeight w:val="373"/>
          <w:jc w:val="center"/>
        </w:trPr>
        <w:tc>
          <w:tcPr>
            <w:tcW w:w="2369" w:type="dxa"/>
          </w:tcPr>
          <w:p w14:paraId="76D34271" w14:textId="77D1E0E0" w:rsidR="00B1113E" w:rsidRPr="00205DFE" w:rsidRDefault="00B1113E" w:rsidP="00B1113E">
            <w:pPr>
              <w:pStyle w:val="ListParagraph"/>
              <w:tabs>
                <w:tab w:val="left" w:pos="63"/>
              </w:tabs>
              <w:spacing w:after="0"/>
              <w:ind w:left="63" w:right="-54"/>
              <w:contextualSpacing w:val="0"/>
              <w:rPr>
                <w:b/>
                <w:bCs/>
                <w:iCs/>
                <w:sz w:val="20"/>
                <w:szCs w:val="20"/>
              </w:rPr>
            </w:pPr>
            <w:r w:rsidRPr="00027486">
              <w:t>Improved documentation and data management</w:t>
            </w:r>
          </w:p>
        </w:tc>
        <w:tc>
          <w:tcPr>
            <w:tcW w:w="5625" w:type="dxa"/>
          </w:tcPr>
          <w:p w14:paraId="21A8DD0B" w14:textId="2AC2B787" w:rsidR="00B1113E" w:rsidRPr="00205DFE" w:rsidRDefault="00B1113E" w:rsidP="00B1113E">
            <w:pPr>
              <w:pStyle w:val="ListParagraph"/>
              <w:tabs>
                <w:tab w:val="left" w:pos="338"/>
              </w:tabs>
              <w:spacing w:after="0"/>
              <w:ind w:left="0" w:right="-57"/>
              <w:rPr>
                <w:b/>
                <w:bCs/>
                <w:iCs/>
                <w:sz w:val="20"/>
                <w:szCs w:val="20"/>
              </w:rPr>
            </w:pPr>
            <w:bookmarkStart w:id="13" w:name="_Hlk33688004"/>
            <w:r w:rsidRPr="006B30AB">
              <w:rPr>
                <w:b/>
                <w:bCs/>
                <w:iCs/>
                <w:sz w:val="20"/>
                <w:szCs w:val="20"/>
              </w:rPr>
              <w:t xml:space="preserve">Aligning with the NTP vision on technology </w:t>
            </w:r>
            <w:proofErr w:type="spellStart"/>
            <w:r w:rsidRPr="006B30AB">
              <w:rPr>
                <w:b/>
                <w:bCs/>
                <w:iCs/>
                <w:sz w:val="20"/>
                <w:szCs w:val="20"/>
              </w:rPr>
              <w:t>utilisation</w:t>
            </w:r>
            <w:proofErr w:type="spellEnd"/>
            <w:r w:rsidRPr="006B30AB">
              <w:rPr>
                <w:b/>
                <w:bCs/>
                <w:iCs/>
                <w:sz w:val="20"/>
                <w:szCs w:val="20"/>
              </w:rPr>
              <w:t xml:space="preserve">, the current paper-based CI approaches will be transitioned to digital platforms, such as </w:t>
            </w:r>
            <w:proofErr w:type="spellStart"/>
            <w:r w:rsidRPr="006B30AB">
              <w:rPr>
                <w:b/>
                <w:bCs/>
                <w:iCs/>
                <w:sz w:val="20"/>
                <w:szCs w:val="20"/>
              </w:rPr>
              <w:t>eTB</w:t>
            </w:r>
            <w:proofErr w:type="spellEnd"/>
            <w:r w:rsidRPr="006B30AB">
              <w:rPr>
                <w:b/>
                <w:bCs/>
                <w:iCs/>
                <w:sz w:val="20"/>
                <w:szCs w:val="20"/>
              </w:rPr>
              <w:t xml:space="preserve"> Manager and the mobile applications developed under Challenge TB. Children identified with presumptive TB at facilities and during CI will be notified to the local basic management units (BMUs), linked to local DOTs </w:t>
            </w:r>
            <w:proofErr w:type="spellStart"/>
            <w:r w:rsidRPr="006B30AB">
              <w:rPr>
                <w:b/>
                <w:bCs/>
                <w:iCs/>
                <w:sz w:val="20"/>
                <w:szCs w:val="20"/>
              </w:rPr>
              <w:t>centres</w:t>
            </w:r>
            <w:proofErr w:type="spellEnd"/>
            <w:r w:rsidRPr="006B30AB">
              <w:rPr>
                <w:b/>
                <w:bCs/>
                <w:iCs/>
                <w:sz w:val="20"/>
                <w:szCs w:val="20"/>
              </w:rPr>
              <w:t xml:space="preserve"> and engaged with DOT providers. Central data personnel will </w:t>
            </w:r>
            <w:proofErr w:type="spellStart"/>
            <w:r w:rsidRPr="006B30AB">
              <w:rPr>
                <w:b/>
                <w:bCs/>
                <w:iCs/>
                <w:sz w:val="20"/>
                <w:szCs w:val="20"/>
              </w:rPr>
              <w:t>analyse</w:t>
            </w:r>
            <w:proofErr w:type="spellEnd"/>
            <w:r w:rsidRPr="006B30AB">
              <w:rPr>
                <w:b/>
                <w:bCs/>
                <w:iCs/>
                <w:sz w:val="20"/>
                <w:szCs w:val="20"/>
              </w:rPr>
              <w:t xml:space="preserve"> the process of CI, notification and treatment outcomes to inform national policy. All of this will make child TB more visible for appropriate interventions.</w:t>
            </w:r>
            <w:r w:rsidRPr="00205DFE">
              <w:rPr>
                <w:b/>
                <w:bCs/>
                <w:iCs/>
                <w:sz w:val="20"/>
                <w:szCs w:val="20"/>
              </w:rPr>
              <w:t xml:space="preserve"> </w:t>
            </w:r>
            <w:bookmarkEnd w:id="13"/>
          </w:p>
        </w:tc>
        <w:tc>
          <w:tcPr>
            <w:tcW w:w="2745" w:type="dxa"/>
            <w:vAlign w:val="center"/>
          </w:tcPr>
          <w:p w14:paraId="6634A95D" w14:textId="2A931E51" w:rsidR="00B1113E" w:rsidRPr="00FC3460" w:rsidRDefault="00B1113E" w:rsidP="00FC3460">
            <w:pPr>
              <w:spacing w:after="0"/>
              <w:jc w:val="right"/>
              <w:rPr>
                <w:b/>
                <w:bCs/>
                <w:iCs/>
                <w:sz w:val="20"/>
                <w:szCs w:val="20"/>
              </w:rPr>
            </w:pPr>
            <w:r w:rsidRPr="00FC3460">
              <w:rPr>
                <w:b/>
                <w:bCs/>
                <w:iCs/>
                <w:sz w:val="20"/>
                <w:szCs w:val="20"/>
              </w:rPr>
              <w:t>$30.706</w:t>
            </w:r>
          </w:p>
        </w:tc>
      </w:tr>
      <w:tr w:rsidR="00B1113E" w:rsidRPr="00205DFE" w14:paraId="4F65466B" w14:textId="77777777" w:rsidTr="007822C8">
        <w:trPr>
          <w:trHeight w:val="404"/>
          <w:jc w:val="center"/>
        </w:trPr>
        <w:tc>
          <w:tcPr>
            <w:tcW w:w="2369" w:type="dxa"/>
          </w:tcPr>
          <w:p w14:paraId="27B080D2" w14:textId="49ACF852" w:rsidR="00B1113E" w:rsidRPr="00205DFE" w:rsidRDefault="00B1113E" w:rsidP="00B1113E">
            <w:pPr>
              <w:pStyle w:val="ListParagraph"/>
              <w:tabs>
                <w:tab w:val="left" w:pos="63"/>
              </w:tabs>
              <w:spacing w:after="0"/>
              <w:ind w:left="63"/>
              <w:contextualSpacing w:val="0"/>
              <w:rPr>
                <w:b/>
                <w:bCs/>
                <w:iCs/>
                <w:sz w:val="20"/>
                <w:szCs w:val="20"/>
              </w:rPr>
            </w:pPr>
            <w:r w:rsidRPr="00027486">
              <w:t xml:space="preserve">Intensify facility based active case </w:t>
            </w:r>
            <w:r w:rsidRPr="00027486">
              <w:lastRenderedPageBreak/>
              <w:t>finding (ACF) among all children and adolescents with special attention to under-5s</w:t>
            </w:r>
          </w:p>
        </w:tc>
        <w:tc>
          <w:tcPr>
            <w:tcW w:w="5625" w:type="dxa"/>
          </w:tcPr>
          <w:p w14:paraId="22284301" w14:textId="1E3C8E7B" w:rsidR="00B1113E" w:rsidRPr="00205DFE" w:rsidRDefault="00B1113E" w:rsidP="00B1113E">
            <w:pPr>
              <w:pStyle w:val="ListParagraph"/>
              <w:tabs>
                <w:tab w:val="left" w:pos="338"/>
              </w:tabs>
              <w:spacing w:after="0"/>
              <w:ind w:left="0" w:right="-57"/>
              <w:rPr>
                <w:b/>
                <w:bCs/>
                <w:iCs/>
                <w:sz w:val="20"/>
                <w:szCs w:val="20"/>
              </w:rPr>
            </w:pPr>
            <w:r w:rsidRPr="008E6331">
              <w:rPr>
                <w:b/>
                <w:bCs/>
                <w:iCs/>
                <w:sz w:val="20"/>
                <w:szCs w:val="20"/>
              </w:rPr>
              <w:lastRenderedPageBreak/>
              <w:t xml:space="preserve">Facility-based ACF has resulted in detection of large numbers of children with TB across South Asia (Nepal, </w:t>
            </w:r>
            <w:r w:rsidRPr="008E6331">
              <w:rPr>
                <w:b/>
                <w:bCs/>
                <w:iCs/>
                <w:sz w:val="20"/>
                <w:szCs w:val="20"/>
              </w:rPr>
              <w:lastRenderedPageBreak/>
              <w:t>India, Pakistan) and most recently in Bangladesh. ACF will involve screening for TB in all children seeking medical care in busy health facilities with daily sick child attendance exceeding 50. Lessons learned from CTB’s ACF of children will guide design including the use of screening techniques in busy OPD waiting rooms</w:t>
            </w:r>
            <w:r>
              <w:rPr>
                <w:b/>
                <w:bCs/>
                <w:iCs/>
                <w:sz w:val="20"/>
                <w:szCs w:val="20"/>
              </w:rPr>
              <w:t xml:space="preserve"> and </w:t>
            </w:r>
            <w:r w:rsidRPr="002E283D">
              <w:rPr>
                <w:b/>
                <w:bCs/>
                <w:iCs/>
                <w:sz w:val="20"/>
                <w:szCs w:val="20"/>
              </w:rPr>
              <w:t>other high risk groups including in-patients</w:t>
            </w:r>
            <w:r>
              <w:rPr>
                <w:b/>
                <w:bCs/>
                <w:iCs/>
                <w:sz w:val="20"/>
                <w:szCs w:val="20"/>
              </w:rPr>
              <w:t>.</w:t>
            </w:r>
          </w:p>
          <w:p w14:paraId="394AC29E" w14:textId="64C05717" w:rsidR="00B1113E" w:rsidRPr="00205DFE" w:rsidRDefault="00B1113E" w:rsidP="00B1113E">
            <w:pPr>
              <w:pStyle w:val="ListParagraph"/>
              <w:tabs>
                <w:tab w:val="left" w:pos="338"/>
              </w:tabs>
              <w:spacing w:after="0"/>
              <w:ind w:left="0" w:right="-54"/>
              <w:contextualSpacing w:val="0"/>
              <w:rPr>
                <w:b/>
                <w:bCs/>
                <w:iCs/>
                <w:sz w:val="20"/>
                <w:szCs w:val="20"/>
              </w:rPr>
            </w:pPr>
          </w:p>
        </w:tc>
        <w:tc>
          <w:tcPr>
            <w:tcW w:w="2745" w:type="dxa"/>
            <w:vAlign w:val="center"/>
          </w:tcPr>
          <w:p w14:paraId="0419086F" w14:textId="14870335" w:rsidR="00B1113E" w:rsidRPr="00FC3460" w:rsidRDefault="00B1113E" w:rsidP="00FC3460">
            <w:pPr>
              <w:spacing w:after="0"/>
              <w:ind w:right="-54"/>
              <w:jc w:val="right"/>
              <w:rPr>
                <w:b/>
                <w:bCs/>
                <w:iCs/>
                <w:sz w:val="20"/>
                <w:szCs w:val="20"/>
              </w:rPr>
            </w:pPr>
            <w:r w:rsidRPr="00FC3460">
              <w:rPr>
                <w:b/>
                <w:bCs/>
                <w:iCs/>
                <w:sz w:val="20"/>
                <w:szCs w:val="20"/>
              </w:rPr>
              <w:lastRenderedPageBreak/>
              <w:t>$846.999</w:t>
            </w:r>
          </w:p>
        </w:tc>
      </w:tr>
      <w:tr w:rsidR="00B1113E" w:rsidRPr="00205DFE" w14:paraId="76719AB6" w14:textId="77777777" w:rsidTr="007822C8">
        <w:trPr>
          <w:trHeight w:val="404"/>
          <w:jc w:val="center"/>
        </w:trPr>
        <w:tc>
          <w:tcPr>
            <w:tcW w:w="2369" w:type="dxa"/>
          </w:tcPr>
          <w:p w14:paraId="1BB192A3" w14:textId="0BBF40E0" w:rsidR="00B1113E" w:rsidRPr="00205DFE" w:rsidRDefault="00B1113E" w:rsidP="00B1113E">
            <w:pPr>
              <w:pStyle w:val="ListParagraph"/>
              <w:tabs>
                <w:tab w:val="left" w:pos="63"/>
              </w:tabs>
              <w:spacing w:after="0"/>
              <w:ind w:left="63"/>
              <w:contextualSpacing w:val="0"/>
              <w:rPr>
                <w:b/>
                <w:bCs/>
                <w:iCs/>
                <w:sz w:val="20"/>
                <w:szCs w:val="20"/>
              </w:rPr>
            </w:pPr>
            <w:r w:rsidRPr="00027486">
              <w:lastRenderedPageBreak/>
              <w:t>Strengthen community-based Contact Investigations (especially Home Contact Management [HCM])</w:t>
            </w:r>
          </w:p>
        </w:tc>
        <w:tc>
          <w:tcPr>
            <w:tcW w:w="5625" w:type="dxa"/>
          </w:tcPr>
          <w:p w14:paraId="7C928B9C" w14:textId="77777777" w:rsidR="00B1113E" w:rsidRPr="008E6331" w:rsidRDefault="00B1113E" w:rsidP="00B1113E">
            <w:pPr>
              <w:pStyle w:val="ListParagraph"/>
              <w:tabs>
                <w:tab w:val="left" w:pos="338"/>
              </w:tabs>
              <w:spacing w:after="0"/>
              <w:ind w:left="0" w:right="-57"/>
              <w:rPr>
                <w:b/>
                <w:bCs/>
                <w:iCs/>
                <w:sz w:val="20"/>
                <w:szCs w:val="20"/>
              </w:rPr>
            </w:pPr>
            <w:r w:rsidRPr="008E6331">
              <w:rPr>
                <w:b/>
                <w:bCs/>
                <w:iCs/>
                <w:sz w:val="20"/>
                <w:szCs w:val="20"/>
              </w:rPr>
              <w:t>To reduce the burden of childhood tuberculosis disease and death, more children with tuberculosis need to be diagnosed and treated or prevented from becoming sick with tuberculosis in the first place. Preventing cases of tuberculosis is especially important in resource-limited settings, where the diagnosis of children with tuberculosis can be particularly challenging. The 2016 CI SOP under NTP stewardship, which has not been implemented, needs to be updated and rolled out across the country.</w:t>
            </w:r>
          </w:p>
          <w:p w14:paraId="06533C9A" w14:textId="691E4BEE" w:rsidR="00B1113E" w:rsidRPr="00205DFE" w:rsidRDefault="00B1113E" w:rsidP="00B1113E">
            <w:pPr>
              <w:pStyle w:val="ListParagraph"/>
              <w:tabs>
                <w:tab w:val="left" w:pos="338"/>
              </w:tabs>
              <w:spacing w:after="0"/>
              <w:ind w:left="0" w:right="-54"/>
              <w:contextualSpacing w:val="0"/>
              <w:rPr>
                <w:b/>
                <w:bCs/>
                <w:iCs/>
                <w:sz w:val="20"/>
                <w:szCs w:val="20"/>
              </w:rPr>
            </w:pPr>
            <w:r w:rsidRPr="008E6331">
              <w:rPr>
                <w:b/>
                <w:bCs/>
                <w:iCs/>
                <w:sz w:val="20"/>
                <w:szCs w:val="20"/>
              </w:rPr>
              <w:t xml:space="preserve">To begin the process, a three-month preliminary landscape analysis and baseline assessment of the CI scenario in rural and urban areas </w:t>
            </w:r>
            <w:r>
              <w:rPr>
                <w:b/>
                <w:bCs/>
                <w:iCs/>
                <w:sz w:val="20"/>
                <w:szCs w:val="20"/>
              </w:rPr>
              <w:t>will</w:t>
            </w:r>
            <w:r w:rsidRPr="008E6331">
              <w:rPr>
                <w:b/>
                <w:bCs/>
                <w:iCs/>
                <w:sz w:val="20"/>
                <w:szCs w:val="20"/>
              </w:rPr>
              <w:t xml:space="preserve"> be carried out to design a realistic CI </w:t>
            </w:r>
            <w:proofErr w:type="spellStart"/>
            <w:r w:rsidRPr="008E6331">
              <w:rPr>
                <w:b/>
                <w:bCs/>
                <w:iCs/>
                <w:sz w:val="20"/>
                <w:szCs w:val="20"/>
              </w:rPr>
              <w:t>programme</w:t>
            </w:r>
            <w:proofErr w:type="spellEnd"/>
            <w:r w:rsidRPr="008E6331">
              <w:rPr>
                <w:b/>
                <w:bCs/>
                <w:iCs/>
                <w:sz w:val="20"/>
                <w:szCs w:val="20"/>
              </w:rPr>
              <w:t xml:space="preserve">. This will be in consultation with district (Civil Surgeons), </w:t>
            </w:r>
            <w:proofErr w:type="spellStart"/>
            <w:r w:rsidRPr="008E6331">
              <w:rPr>
                <w:b/>
                <w:bCs/>
                <w:iCs/>
                <w:sz w:val="20"/>
                <w:szCs w:val="20"/>
              </w:rPr>
              <w:t>upazila</w:t>
            </w:r>
            <w:proofErr w:type="spellEnd"/>
            <w:r w:rsidRPr="008E6331">
              <w:rPr>
                <w:b/>
                <w:bCs/>
                <w:iCs/>
                <w:sz w:val="20"/>
                <w:szCs w:val="20"/>
              </w:rPr>
              <w:t xml:space="preserve"> (UHFPOs) health managers as well as Chief Medical Officers in city corporation/municipalities. CI training will then be undertaken, and activities rolled out. Lessons learnt in the first year will inform further expansion in years two to </w:t>
            </w:r>
            <w:r>
              <w:rPr>
                <w:b/>
                <w:bCs/>
                <w:iCs/>
                <w:sz w:val="20"/>
                <w:szCs w:val="20"/>
              </w:rPr>
              <w:t>three</w:t>
            </w:r>
            <w:r w:rsidRPr="008E6331">
              <w:rPr>
                <w:b/>
                <w:bCs/>
                <w:iCs/>
                <w:sz w:val="20"/>
                <w:szCs w:val="20"/>
              </w:rPr>
              <w:t>.</w:t>
            </w:r>
          </w:p>
        </w:tc>
        <w:tc>
          <w:tcPr>
            <w:tcW w:w="2745" w:type="dxa"/>
            <w:vAlign w:val="center"/>
          </w:tcPr>
          <w:p w14:paraId="42489B10" w14:textId="0B18FC86" w:rsidR="00B1113E" w:rsidRPr="00FC3460" w:rsidRDefault="00B1113E" w:rsidP="00FC3460">
            <w:pPr>
              <w:spacing w:after="0"/>
              <w:ind w:right="-54"/>
              <w:jc w:val="right"/>
              <w:rPr>
                <w:b/>
                <w:bCs/>
                <w:iCs/>
                <w:sz w:val="20"/>
                <w:szCs w:val="20"/>
              </w:rPr>
            </w:pPr>
            <w:r w:rsidRPr="00FC3460">
              <w:rPr>
                <w:b/>
                <w:bCs/>
                <w:iCs/>
                <w:sz w:val="20"/>
                <w:szCs w:val="20"/>
              </w:rPr>
              <w:t>$96.254</w:t>
            </w:r>
          </w:p>
        </w:tc>
      </w:tr>
      <w:tr w:rsidR="008E6331" w:rsidRPr="00205DFE" w14:paraId="0039FD80" w14:textId="77777777" w:rsidTr="007822C8">
        <w:trPr>
          <w:trHeight w:val="350"/>
          <w:jc w:val="center"/>
        </w:trPr>
        <w:tc>
          <w:tcPr>
            <w:tcW w:w="2369" w:type="dxa"/>
            <w:vAlign w:val="center"/>
          </w:tcPr>
          <w:p w14:paraId="7B4B4445" w14:textId="77777777" w:rsidR="008E6331" w:rsidRPr="005E57A8" w:rsidRDefault="008E6331" w:rsidP="007822C8">
            <w:pPr>
              <w:pStyle w:val="ListParagraph"/>
              <w:tabs>
                <w:tab w:val="left" w:pos="63"/>
              </w:tabs>
              <w:spacing w:after="0"/>
              <w:ind w:left="63"/>
              <w:contextualSpacing w:val="0"/>
              <w:rPr>
                <w:bCs/>
                <w:i/>
                <w:iCs/>
                <w:sz w:val="20"/>
                <w:szCs w:val="20"/>
              </w:rPr>
            </w:pPr>
            <w:r w:rsidRPr="005E57A8">
              <w:rPr>
                <w:bCs/>
                <w:i/>
                <w:iCs/>
                <w:sz w:val="20"/>
                <w:szCs w:val="20"/>
              </w:rPr>
              <w:t>Add rows as relevant</w:t>
            </w:r>
          </w:p>
        </w:tc>
        <w:tc>
          <w:tcPr>
            <w:tcW w:w="5625" w:type="dxa"/>
          </w:tcPr>
          <w:p w14:paraId="1186FD43" w14:textId="77777777" w:rsidR="008E6331" w:rsidRPr="00205DFE" w:rsidRDefault="008E6331" w:rsidP="007822C8">
            <w:pPr>
              <w:pStyle w:val="ListParagraph"/>
              <w:tabs>
                <w:tab w:val="left" w:pos="338"/>
              </w:tabs>
              <w:spacing w:after="0"/>
              <w:ind w:left="0" w:right="-54"/>
              <w:contextualSpacing w:val="0"/>
              <w:rPr>
                <w:b/>
                <w:bCs/>
                <w:iCs/>
                <w:sz w:val="20"/>
                <w:szCs w:val="20"/>
              </w:rPr>
            </w:pPr>
          </w:p>
        </w:tc>
        <w:tc>
          <w:tcPr>
            <w:tcW w:w="2745" w:type="dxa"/>
            <w:vAlign w:val="center"/>
          </w:tcPr>
          <w:p w14:paraId="02AE9FED" w14:textId="77777777" w:rsidR="008E6331" w:rsidRPr="00205DFE" w:rsidRDefault="008E6331" w:rsidP="007822C8">
            <w:pPr>
              <w:spacing w:after="0"/>
              <w:ind w:right="-54"/>
              <w:jc w:val="right"/>
              <w:rPr>
                <w:b/>
                <w:bCs/>
                <w:iCs/>
                <w:sz w:val="20"/>
                <w:szCs w:val="20"/>
              </w:rPr>
            </w:pPr>
          </w:p>
        </w:tc>
      </w:tr>
    </w:tbl>
    <w:p w14:paraId="6E57871F" w14:textId="4BBEC608" w:rsidR="008E6331" w:rsidRDefault="008E6331"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982"/>
        <w:gridCol w:w="6117"/>
        <w:gridCol w:w="2640"/>
      </w:tblGrid>
      <w:tr w:rsidR="008E6331" w14:paraId="5C7482FB" w14:textId="77777777" w:rsidTr="007822C8">
        <w:trPr>
          <w:trHeight w:val="350"/>
          <w:jc w:val="center"/>
        </w:trPr>
        <w:tc>
          <w:tcPr>
            <w:tcW w:w="10739" w:type="dxa"/>
            <w:gridSpan w:val="3"/>
            <w:shd w:val="clear" w:color="auto" w:fill="F9FBFD" w:themeFill="text2" w:themeFillTint="33"/>
            <w:vAlign w:val="center"/>
          </w:tcPr>
          <w:p w14:paraId="3F8E9846" w14:textId="63B3B94F" w:rsidR="008E6331" w:rsidRDefault="008E6331" w:rsidP="007822C8">
            <w:pPr>
              <w:spacing w:after="0"/>
              <w:rPr>
                <w:iCs/>
                <w:sz w:val="20"/>
                <w:szCs w:val="20"/>
              </w:rPr>
            </w:pPr>
            <w:r>
              <w:rPr>
                <w:sz w:val="20"/>
                <w:szCs w:val="20"/>
              </w:rPr>
              <w:t>NSP Strategic Area #:</w:t>
            </w:r>
            <w:r w:rsidR="00A91AC6">
              <w:t xml:space="preserve"> </w:t>
            </w:r>
            <w:r w:rsidR="000B1B06" w:rsidRPr="000B1B06">
              <w:rPr>
                <w:sz w:val="20"/>
                <w:szCs w:val="20"/>
              </w:rPr>
              <w:t>Provision of preventive treatment to risk groups</w:t>
            </w:r>
            <w:r w:rsidR="006475C2">
              <w:rPr>
                <w:sz w:val="20"/>
                <w:szCs w:val="20"/>
              </w:rPr>
              <w:t xml:space="preserve"> and infection control activities</w:t>
            </w:r>
          </w:p>
        </w:tc>
      </w:tr>
      <w:tr w:rsidR="008E6331" w:rsidRPr="00205DFE" w14:paraId="453AF063" w14:textId="77777777" w:rsidTr="000B1B06">
        <w:trPr>
          <w:trHeight w:val="736"/>
          <w:jc w:val="center"/>
        </w:trPr>
        <w:tc>
          <w:tcPr>
            <w:tcW w:w="1982" w:type="dxa"/>
            <w:shd w:val="clear" w:color="auto" w:fill="F9FBFD" w:themeFill="text2" w:themeFillTint="33"/>
            <w:vAlign w:val="center"/>
          </w:tcPr>
          <w:p w14:paraId="7CD1B0F2" w14:textId="77777777" w:rsidR="008E6331" w:rsidRPr="00205DFE" w:rsidRDefault="008E6331" w:rsidP="007822C8">
            <w:pPr>
              <w:spacing w:after="0"/>
              <w:jc w:val="center"/>
              <w:rPr>
                <w:sz w:val="20"/>
                <w:szCs w:val="20"/>
              </w:rPr>
            </w:pPr>
            <w:r>
              <w:rPr>
                <w:sz w:val="20"/>
                <w:szCs w:val="20"/>
              </w:rPr>
              <w:t>Intervention</w:t>
            </w:r>
          </w:p>
        </w:tc>
        <w:tc>
          <w:tcPr>
            <w:tcW w:w="6117" w:type="dxa"/>
            <w:shd w:val="clear" w:color="auto" w:fill="F9FBFD" w:themeFill="text2" w:themeFillTint="33"/>
            <w:vAlign w:val="center"/>
          </w:tcPr>
          <w:p w14:paraId="137E24FC" w14:textId="77777777" w:rsidR="008E6331" w:rsidRPr="00205DFE" w:rsidRDefault="008E6331" w:rsidP="007822C8">
            <w:pPr>
              <w:spacing w:after="0"/>
              <w:jc w:val="center"/>
              <w:rPr>
                <w:iCs/>
                <w:sz w:val="20"/>
                <w:szCs w:val="20"/>
              </w:rPr>
            </w:pPr>
            <w:r>
              <w:rPr>
                <w:sz w:val="20"/>
                <w:szCs w:val="20"/>
              </w:rPr>
              <w:t>R</w:t>
            </w:r>
            <w:r w:rsidRPr="00283CBB">
              <w:rPr>
                <w:sz w:val="20"/>
                <w:szCs w:val="20"/>
              </w:rPr>
              <w:t>ationale for prioritization</w:t>
            </w:r>
            <w:r>
              <w:rPr>
                <w:sz w:val="20"/>
                <w:szCs w:val="20"/>
              </w:rPr>
              <w:t xml:space="preserve"> for Global Fund funding </w:t>
            </w:r>
          </w:p>
        </w:tc>
        <w:tc>
          <w:tcPr>
            <w:tcW w:w="2640" w:type="dxa"/>
            <w:shd w:val="clear" w:color="auto" w:fill="F9FBFD" w:themeFill="text2" w:themeFillTint="33"/>
            <w:vAlign w:val="center"/>
          </w:tcPr>
          <w:p w14:paraId="695D8EC4" w14:textId="77777777" w:rsidR="008E6331" w:rsidRPr="00205DFE" w:rsidRDefault="008E6331" w:rsidP="007822C8">
            <w:pPr>
              <w:spacing w:after="0"/>
              <w:jc w:val="center"/>
              <w:rPr>
                <w:iCs/>
                <w:sz w:val="20"/>
                <w:szCs w:val="20"/>
              </w:rPr>
            </w:pPr>
            <w:r>
              <w:rPr>
                <w:iCs/>
                <w:sz w:val="20"/>
                <w:szCs w:val="20"/>
              </w:rPr>
              <w:t xml:space="preserve">Amount requested </w:t>
            </w:r>
            <w:r>
              <w:rPr>
                <w:iCs/>
                <w:sz w:val="20"/>
                <w:szCs w:val="20"/>
              </w:rPr>
              <w:br/>
              <w:t xml:space="preserve">from the Global Fund </w:t>
            </w:r>
            <w:r>
              <w:rPr>
                <w:iCs/>
                <w:sz w:val="20"/>
                <w:szCs w:val="20"/>
              </w:rPr>
              <w:br/>
            </w:r>
          </w:p>
        </w:tc>
      </w:tr>
      <w:tr w:rsidR="00FC3460" w:rsidRPr="00205DFE" w14:paraId="431B2E7F" w14:textId="77777777" w:rsidTr="000B1B06">
        <w:trPr>
          <w:trHeight w:val="373"/>
          <w:jc w:val="center"/>
        </w:trPr>
        <w:tc>
          <w:tcPr>
            <w:tcW w:w="1982" w:type="dxa"/>
            <w:vAlign w:val="center"/>
          </w:tcPr>
          <w:p w14:paraId="0124D11F" w14:textId="5BA872BF" w:rsidR="00FC3460" w:rsidRPr="00205DFE" w:rsidRDefault="00FC3460" w:rsidP="00FC3460">
            <w:pPr>
              <w:pStyle w:val="ListParagraph"/>
              <w:tabs>
                <w:tab w:val="left" w:pos="63"/>
              </w:tabs>
              <w:spacing w:after="0"/>
              <w:ind w:left="63" w:right="-54"/>
              <w:contextualSpacing w:val="0"/>
              <w:rPr>
                <w:b/>
                <w:bCs/>
                <w:iCs/>
                <w:sz w:val="20"/>
                <w:szCs w:val="20"/>
              </w:rPr>
            </w:pPr>
            <w:r w:rsidRPr="00A91AC6">
              <w:rPr>
                <w:b/>
                <w:bCs/>
                <w:iCs/>
                <w:sz w:val="20"/>
                <w:szCs w:val="20"/>
              </w:rPr>
              <w:t>Countrywide implementation of a strategy for treatment of latent tuberculosis infection (LTBI)</w:t>
            </w:r>
          </w:p>
        </w:tc>
        <w:tc>
          <w:tcPr>
            <w:tcW w:w="6117" w:type="dxa"/>
          </w:tcPr>
          <w:p w14:paraId="2734492C" w14:textId="6D03D08A" w:rsidR="00FC3460" w:rsidRDefault="00FC3460" w:rsidP="00FC3460">
            <w:pPr>
              <w:pStyle w:val="ListParagraph"/>
              <w:tabs>
                <w:tab w:val="left" w:pos="338"/>
              </w:tabs>
              <w:spacing w:after="0"/>
              <w:ind w:right="-54"/>
              <w:rPr>
                <w:b/>
                <w:bCs/>
                <w:iCs/>
                <w:sz w:val="20"/>
                <w:szCs w:val="20"/>
              </w:rPr>
            </w:pPr>
            <w:r>
              <w:rPr>
                <w:b/>
                <w:bCs/>
                <w:iCs/>
                <w:sz w:val="20"/>
                <w:szCs w:val="20"/>
              </w:rPr>
              <w:t>B</w:t>
            </w:r>
            <w:r w:rsidRPr="00A91AC6">
              <w:rPr>
                <w:b/>
                <w:bCs/>
                <w:iCs/>
                <w:sz w:val="20"/>
                <w:szCs w:val="20"/>
              </w:rPr>
              <w:t>ased on recommendations published in recently updated WHO guidelines on LTBI</w:t>
            </w:r>
            <w:r w:rsidRPr="00A91AC6">
              <w:rPr>
                <w:b/>
                <w:bCs/>
                <w:iCs/>
                <w:sz w:val="20"/>
                <w:szCs w:val="20"/>
                <w:vertAlign w:val="superscript"/>
              </w:rPr>
              <w:footnoteReference w:id="4"/>
            </w:r>
            <w:bookmarkStart w:id="14" w:name="_Toc12529182"/>
            <w:r>
              <w:rPr>
                <w:b/>
                <w:bCs/>
                <w:iCs/>
                <w:sz w:val="20"/>
                <w:szCs w:val="20"/>
              </w:rPr>
              <w:t xml:space="preserve">, </w:t>
            </w:r>
            <w:bookmarkEnd w:id="14"/>
            <w:r w:rsidRPr="00A91AC6">
              <w:rPr>
                <w:b/>
                <w:bCs/>
                <w:iCs/>
                <w:sz w:val="20"/>
                <w:szCs w:val="20"/>
              </w:rPr>
              <w:t>the NTP considers the following populations to be at-risk populations that should receive LTBI treatment:</w:t>
            </w:r>
          </w:p>
          <w:p w14:paraId="4664423B" w14:textId="77777777" w:rsidR="00FC3460" w:rsidRPr="00A91AC6" w:rsidRDefault="00FC3460" w:rsidP="00FC3460">
            <w:pPr>
              <w:pStyle w:val="ListParagraph"/>
              <w:tabs>
                <w:tab w:val="left" w:pos="338"/>
              </w:tabs>
              <w:spacing w:after="0"/>
              <w:ind w:right="-54"/>
              <w:rPr>
                <w:b/>
                <w:bCs/>
                <w:iCs/>
                <w:sz w:val="20"/>
                <w:szCs w:val="20"/>
              </w:rPr>
            </w:pPr>
          </w:p>
          <w:p w14:paraId="1BE7D449" w14:textId="77777777" w:rsidR="00FC3460" w:rsidRPr="00A91AC6" w:rsidRDefault="00FC3460" w:rsidP="00FC3460">
            <w:pPr>
              <w:pStyle w:val="ListParagraph"/>
              <w:numPr>
                <w:ilvl w:val="0"/>
                <w:numId w:val="13"/>
              </w:numPr>
              <w:tabs>
                <w:tab w:val="left" w:pos="338"/>
              </w:tabs>
              <w:spacing w:after="0"/>
              <w:ind w:right="-54"/>
              <w:rPr>
                <w:b/>
                <w:bCs/>
                <w:iCs/>
                <w:sz w:val="20"/>
                <w:szCs w:val="20"/>
              </w:rPr>
            </w:pPr>
            <w:r w:rsidRPr="00A91AC6">
              <w:rPr>
                <w:b/>
                <w:bCs/>
                <w:iCs/>
                <w:sz w:val="20"/>
                <w:szCs w:val="20"/>
              </w:rPr>
              <w:t>Adults, adolescents, children and infants living with HIV</w:t>
            </w:r>
          </w:p>
          <w:p w14:paraId="593FE0DA" w14:textId="77777777" w:rsidR="00FC3460" w:rsidRPr="00A91AC6" w:rsidRDefault="00FC3460" w:rsidP="00FC3460">
            <w:pPr>
              <w:pStyle w:val="ListParagraph"/>
              <w:tabs>
                <w:tab w:val="left" w:pos="338"/>
              </w:tabs>
              <w:spacing w:after="0"/>
              <w:ind w:right="-54"/>
              <w:rPr>
                <w:b/>
                <w:bCs/>
                <w:iCs/>
                <w:sz w:val="20"/>
                <w:szCs w:val="20"/>
              </w:rPr>
            </w:pPr>
          </w:p>
          <w:p w14:paraId="02A1EEA1" w14:textId="77777777" w:rsidR="00FC3460" w:rsidRPr="00A91AC6" w:rsidRDefault="00FC3460" w:rsidP="00FC3460">
            <w:pPr>
              <w:pStyle w:val="ListParagraph"/>
              <w:numPr>
                <w:ilvl w:val="0"/>
                <w:numId w:val="13"/>
              </w:numPr>
              <w:tabs>
                <w:tab w:val="left" w:pos="338"/>
              </w:tabs>
              <w:spacing w:after="0"/>
              <w:ind w:right="-54"/>
              <w:rPr>
                <w:b/>
                <w:bCs/>
                <w:iCs/>
                <w:sz w:val="20"/>
                <w:szCs w:val="20"/>
              </w:rPr>
            </w:pPr>
            <w:r w:rsidRPr="00A91AC6">
              <w:rPr>
                <w:b/>
                <w:bCs/>
                <w:iCs/>
                <w:sz w:val="20"/>
                <w:szCs w:val="20"/>
              </w:rPr>
              <w:t>HIV-negative household contacts</w:t>
            </w:r>
          </w:p>
          <w:p w14:paraId="194C4B64" w14:textId="77777777" w:rsidR="00FC3460" w:rsidRPr="00A91AC6" w:rsidRDefault="00FC3460" w:rsidP="00FC3460">
            <w:pPr>
              <w:pStyle w:val="ListParagraph"/>
              <w:numPr>
                <w:ilvl w:val="0"/>
                <w:numId w:val="15"/>
              </w:numPr>
              <w:tabs>
                <w:tab w:val="left" w:pos="338"/>
              </w:tabs>
              <w:spacing w:after="0"/>
              <w:ind w:right="-54"/>
              <w:rPr>
                <w:b/>
                <w:bCs/>
                <w:iCs/>
                <w:sz w:val="20"/>
                <w:szCs w:val="20"/>
              </w:rPr>
            </w:pPr>
            <w:r w:rsidRPr="00A91AC6">
              <w:rPr>
                <w:b/>
                <w:bCs/>
                <w:iCs/>
                <w:sz w:val="20"/>
                <w:szCs w:val="20"/>
              </w:rPr>
              <w:t xml:space="preserve">HIV-negative children aged &lt; 5 years who are household contacts of people with bacteriologically confirmed pulmonary TB and who are found not to have active TB on clinical evaluation should be given TB preventive treatment. </w:t>
            </w:r>
          </w:p>
          <w:p w14:paraId="1EF4F7F3" w14:textId="52AFC939" w:rsidR="00FC3460" w:rsidRDefault="00FC3460" w:rsidP="00FC3460">
            <w:pPr>
              <w:pStyle w:val="ListParagraph"/>
              <w:numPr>
                <w:ilvl w:val="0"/>
                <w:numId w:val="15"/>
              </w:numPr>
              <w:tabs>
                <w:tab w:val="left" w:pos="338"/>
              </w:tabs>
              <w:spacing w:after="0"/>
              <w:ind w:right="-54"/>
              <w:rPr>
                <w:b/>
                <w:bCs/>
                <w:iCs/>
                <w:sz w:val="20"/>
                <w:szCs w:val="20"/>
              </w:rPr>
            </w:pPr>
            <w:r w:rsidRPr="00A91AC6">
              <w:rPr>
                <w:b/>
                <w:bCs/>
                <w:iCs/>
                <w:sz w:val="20"/>
                <w:szCs w:val="20"/>
              </w:rPr>
              <w:t xml:space="preserve">Children aged </w:t>
            </w:r>
            <w:r w:rsidRPr="00A91AC6">
              <w:rPr>
                <w:b/>
                <w:bCs/>
                <w:iCs/>
                <w:sz w:val="20"/>
                <w:szCs w:val="20"/>
                <w:vertAlign w:val="subscript"/>
              </w:rPr>
              <w:t>≥</w:t>
            </w:r>
            <w:r w:rsidRPr="00A91AC6">
              <w:rPr>
                <w:b/>
                <w:bCs/>
                <w:iCs/>
                <w:sz w:val="20"/>
                <w:szCs w:val="20"/>
              </w:rPr>
              <w:t xml:space="preserve"> 5 years, adolescents and adults who are household contacts of people with bacteriologically confirmed pulmonary TB who are found not to have active TB by clinical evaluation may be given TB preventive treatment. </w:t>
            </w:r>
          </w:p>
          <w:p w14:paraId="3CC7601B" w14:textId="77777777" w:rsidR="00FC3460" w:rsidRPr="006B30AB" w:rsidRDefault="00FC3460" w:rsidP="00FC3460">
            <w:pPr>
              <w:tabs>
                <w:tab w:val="left" w:pos="338"/>
              </w:tabs>
              <w:spacing w:after="0"/>
              <w:ind w:right="-54"/>
              <w:rPr>
                <w:b/>
                <w:bCs/>
                <w:iCs/>
                <w:sz w:val="20"/>
                <w:szCs w:val="20"/>
              </w:rPr>
            </w:pPr>
          </w:p>
          <w:p w14:paraId="7C774CDA" w14:textId="3A2CE307" w:rsidR="00FC3460" w:rsidRPr="000B1B06" w:rsidRDefault="00FC3460" w:rsidP="00FC3460">
            <w:pPr>
              <w:pStyle w:val="ListParagraph"/>
              <w:tabs>
                <w:tab w:val="left" w:pos="338"/>
              </w:tabs>
              <w:spacing w:after="0"/>
              <w:ind w:left="0" w:right="-54"/>
              <w:rPr>
                <w:b/>
                <w:bCs/>
                <w:iCs/>
                <w:sz w:val="20"/>
                <w:szCs w:val="20"/>
              </w:rPr>
            </w:pPr>
            <w:r w:rsidRPr="00A91AC6">
              <w:rPr>
                <w:b/>
                <w:bCs/>
                <w:iCs/>
                <w:sz w:val="20"/>
                <w:szCs w:val="20"/>
              </w:rPr>
              <w:lastRenderedPageBreak/>
              <w:t>Detailed SOPs for the introduction of LTBI will be developed by the NTP in early 2020.</w:t>
            </w:r>
            <w:r>
              <w:rPr>
                <w:b/>
                <w:bCs/>
                <w:iCs/>
                <w:sz w:val="20"/>
                <w:szCs w:val="20"/>
              </w:rPr>
              <w:t xml:space="preserve"> The strategy </w:t>
            </w:r>
            <w:r w:rsidRPr="000B1B06">
              <w:rPr>
                <w:b/>
                <w:bCs/>
                <w:iCs/>
                <w:sz w:val="20"/>
                <w:szCs w:val="20"/>
              </w:rPr>
              <w:t xml:space="preserve">will involve the identification of focal persons for programmatic management of LTBI in the field, capacity development of Focal persons to manage LTBI, and the development of a working group in every treatment </w:t>
            </w:r>
            <w:proofErr w:type="spellStart"/>
            <w:r w:rsidRPr="000B1B06">
              <w:rPr>
                <w:b/>
                <w:bCs/>
                <w:iCs/>
                <w:sz w:val="20"/>
                <w:szCs w:val="20"/>
              </w:rPr>
              <w:t>centre</w:t>
            </w:r>
            <w:proofErr w:type="spellEnd"/>
            <w:r w:rsidRPr="000B1B06">
              <w:rPr>
                <w:b/>
                <w:bCs/>
                <w:iCs/>
                <w:sz w:val="20"/>
                <w:szCs w:val="20"/>
              </w:rPr>
              <w:t xml:space="preserve"> of LTBI involving GOB and implementing partners.</w:t>
            </w:r>
            <w:r>
              <w:rPr>
                <w:b/>
                <w:bCs/>
                <w:iCs/>
                <w:sz w:val="20"/>
                <w:szCs w:val="20"/>
              </w:rPr>
              <w:t xml:space="preserve"> </w:t>
            </w:r>
            <w:r w:rsidRPr="000B1B06">
              <w:rPr>
                <w:b/>
                <w:bCs/>
                <w:iCs/>
                <w:sz w:val="20"/>
                <w:szCs w:val="20"/>
              </w:rPr>
              <w:t>Th</w:t>
            </w:r>
            <w:r>
              <w:rPr>
                <w:b/>
                <w:bCs/>
                <w:iCs/>
                <w:sz w:val="20"/>
                <w:szCs w:val="20"/>
              </w:rPr>
              <w:t>e</w:t>
            </w:r>
            <w:r w:rsidRPr="000B1B06">
              <w:rPr>
                <w:b/>
                <w:bCs/>
                <w:iCs/>
                <w:sz w:val="20"/>
                <w:szCs w:val="20"/>
              </w:rPr>
              <w:t xml:space="preserve"> strategy will </w:t>
            </w:r>
            <w:r>
              <w:rPr>
                <w:b/>
                <w:bCs/>
                <w:iCs/>
                <w:sz w:val="20"/>
                <w:szCs w:val="20"/>
              </w:rPr>
              <w:t xml:space="preserve">also </w:t>
            </w:r>
            <w:r w:rsidRPr="000B1B06">
              <w:rPr>
                <w:b/>
                <w:bCs/>
                <w:iCs/>
                <w:sz w:val="20"/>
                <w:szCs w:val="20"/>
              </w:rPr>
              <w:t xml:space="preserve">involve the development of  an ACSM plan </w:t>
            </w:r>
            <w:r>
              <w:rPr>
                <w:b/>
                <w:bCs/>
                <w:iCs/>
                <w:sz w:val="20"/>
                <w:szCs w:val="20"/>
              </w:rPr>
              <w:t>and f</w:t>
            </w:r>
            <w:r w:rsidRPr="00A91AC6">
              <w:rPr>
                <w:b/>
                <w:bCs/>
                <w:iCs/>
                <w:sz w:val="20"/>
                <w:szCs w:val="20"/>
              </w:rPr>
              <w:t>ollow-up and monitoring activities for LTBI management</w:t>
            </w:r>
            <w:r>
              <w:rPr>
                <w:b/>
                <w:bCs/>
                <w:iCs/>
                <w:sz w:val="20"/>
                <w:szCs w:val="20"/>
              </w:rPr>
              <w:t>.</w:t>
            </w:r>
          </w:p>
        </w:tc>
        <w:tc>
          <w:tcPr>
            <w:tcW w:w="2640" w:type="dxa"/>
            <w:vAlign w:val="center"/>
          </w:tcPr>
          <w:p w14:paraId="07CC490D" w14:textId="10AA3CEF" w:rsidR="00FC3460" w:rsidRPr="002E283D" w:rsidRDefault="00FC3460" w:rsidP="00FC3460">
            <w:pPr>
              <w:pStyle w:val="ListParagraph"/>
              <w:numPr>
                <w:ilvl w:val="0"/>
                <w:numId w:val="35"/>
              </w:numPr>
              <w:spacing w:after="0"/>
              <w:ind w:left="357" w:hanging="357"/>
              <w:rPr>
                <w:b/>
                <w:bCs/>
                <w:iCs/>
                <w:sz w:val="20"/>
                <w:szCs w:val="20"/>
              </w:rPr>
            </w:pPr>
            <w:r w:rsidRPr="00E929BA">
              <w:rPr>
                <w:b/>
                <w:bCs/>
                <w:iCs/>
                <w:sz w:val="20"/>
                <w:szCs w:val="20"/>
              </w:rPr>
              <w:lastRenderedPageBreak/>
              <w:t>$6.793.092</w:t>
            </w:r>
          </w:p>
        </w:tc>
      </w:tr>
      <w:tr w:rsidR="00FC3460" w:rsidRPr="00205DFE" w14:paraId="4CCC5182" w14:textId="77777777" w:rsidTr="000B1B06">
        <w:trPr>
          <w:trHeight w:val="404"/>
          <w:jc w:val="center"/>
        </w:trPr>
        <w:tc>
          <w:tcPr>
            <w:tcW w:w="1982" w:type="dxa"/>
            <w:vAlign w:val="center"/>
          </w:tcPr>
          <w:p w14:paraId="1DC365F3" w14:textId="1AD7557D" w:rsidR="00FC3460" w:rsidRPr="00A91AC6" w:rsidRDefault="00FC3460" w:rsidP="00FC3460">
            <w:pPr>
              <w:pStyle w:val="ListParagraph"/>
              <w:tabs>
                <w:tab w:val="left" w:pos="63"/>
              </w:tabs>
              <w:spacing w:after="0"/>
              <w:ind w:left="63"/>
              <w:contextualSpacing w:val="0"/>
              <w:rPr>
                <w:b/>
                <w:bCs/>
                <w:iCs/>
                <w:sz w:val="20"/>
                <w:szCs w:val="20"/>
              </w:rPr>
            </w:pPr>
            <w:r w:rsidRPr="00E929BA">
              <w:rPr>
                <w:b/>
                <w:bCs/>
                <w:iCs/>
                <w:sz w:val="20"/>
                <w:szCs w:val="20"/>
              </w:rPr>
              <w:lastRenderedPageBreak/>
              <w:t>Implement a comprehensive infection control policy at all implementation sites</w:t>
            </w:r>
          </w:p>
        </w:tc>
        <w:tc>
          <w:tcPr>
            <w:tcW w:w="6117" w:type="dxa"/>
          </w:tcPr>
          <w:p w14:paraId="6C2AE8D3" w14:textId="6B15D411" w:rsidR="00FC3460" w:rsidRPr="00A91AC6" w:rsidRDefault="00FC3460" w:rsidP="00FC3460">
            <w:pPr>
              <w:pStyle w:val="ListParagraph"/>
              <w:tabs>
                <w:tab w:val="left" w:pos="338"/>
              </w:tabs>
              <w:spacing w:after="0"/>
              <w:ind w:left="0" w:right="-54"/>
              <w:contextualSpacing w:val="0"/>
              <w:rPr>
                <w:b/>
                <w:bCs/>
                <w:iCs/>
                <w:sz w:val="20"/>
                <w:szCs w:val="20"/>
              </w:rPr>
            </w:pPr>
            <w:r w:rsidRPr="00E929BA">
              <w:rPr>
                <w:b/>
                <w:bCs/>
                <w:iCs/>
                <w:sz w:val="20"/>
                <w:szCs w:val="20"/>
              </w:rPr>
              <w:t>The NTP has developed a comprehensive infection control policy, but implementation at peripheral facilities has been limited. Under this strategy, the implementation of infection control at all treatment facilities will be ensured through reconstitution of the multidisciplinary team on TB IC policies and guidelines,  and inclusion of their oversight in the scaling-up of TB IC; development and implementation of a program for pre-service and in-services TB screening, including routine surveillance among HCW and laboratory staff; definition of a set of SOPs for waste management for each level of care; training of Master Trainers and managers responsible for regular supervision and M&amp;E on technical and programmatic aspects of TB IC.</w:t>
            </w:r>
          </w:p>
        </w:tc>
        <w:tc>
          <w:tcPr>
            <w:tcW w:w="2640" w:type="dxa"/>
            <w:vAlign w:val="center"/>
          </w:tcPr>
          <w:p w14:paraId="4532E6C8" w14:textId="319F4F44" w:rsidR="00FC3460" w:rsidRPr="00FC3460" w:rsidRDefault="00FC3460" w:rsidP="00FC3460">
            <w:pPr>
              <w:spacing w:after="0"/>
              <w:ind w:right="-54"/>
              <w:jc w:val="right"/>
              <w:rPr>
                <w:b/>
                <w:bCs/>
                <w:iCs/>
                <w:sz w:val="20"/>
                <w:szCs w:val="20"/>
              </w:rPr>
            </w:pPr>
            <w:r w:rsidRPr="00FC3460">
              <w:rPr>
                <w:b/>
                <w:bCs/>
                <w:iCs/>
                <w:sz w:val="20"/>
                <w:szCs w:val="20"/>
              </w:rPr>
              <w:t>1.027.678</w:t>
            </w:r>
          </w:p>
        </w:tc>
      </w:tr>
      <w:tr w:rsidR="00FC3460" w:rsidRPr="00205DFE" w14:paraId="7392C6CE" w14:textId="77777777" w:rsidTr="000B1B06">
        <w:trPr>
          <w:trHeight w:val="350"/>
          <w:jc w:val="center"/>
        </w:trPr>
        <w:tc>
          <w:tcPr>
            <w:tcW w:w="1982" w:type="dxa"/>
            <w:vAlign w:val="center"/>
          </w:tcPr>
          <w:p w14:paraId="3279E72E" w14:textId="77777777" w:rsidR="00FC3460" w:rsidRPr="005E57A8" w:rsidRDefault="00FC3460" w:rsidP="00FC3460">
            <w:pPr>
              <w:pStyle w:val="ListParagraph"/>
              <w:tabs>
                <w:tab w:val="left" w:pos="63"/>
              </w:tabs>
              <w:spacing w:after="0"/>
              <w:ind w:left="63"/>
              <w:contextualSpacing w:val="0"/>
              <w:rPr>
                <w:bCs/>
                <w:i/>
                <w:iCs/>
                <w:sz w:val="20"/>
                <w:szCs w:val="20"/>
              </w:rPr>
            </w:pPr>
            <w:r w:rsidRPr="005E57A8">
              <w:rPr>
                <w:bCs/>
                <w:i/>
                <w:iCs/>
                <w:sz w:val="20"/>
                <w:szCs w:val="20"/>
              </w:rPr>
              <w:t>Add rows as relevant</w:t>
            </w:r>
          </w:p>
        </w:tc>
        <w:tc>
          <w:tcPr>
            <w:tcW w:w="6117" w:type="dxa"/>
          </w:tcPr>
          <w:p w14:paraId="09A696E5" w14:textId="77777777" w:rsidR="00FC3460" w:rsidRPr="00205DFE" w:rsidRDefault="00FC3460" w:rsidP="00FC3460">
            <w:pPr>
              <w:pStyle w:val="ListParagraph"/>
              <w:tabs>
                <w:tab w:val="left" w:pos="338"/>
              </w:tabs>
              <w:spacing w:after="0"/>
              <w:ind w:left="0" w:right="-54"/>
              <w:contextualSpacing w:val="0"/>
              <w:rPr>
                <w:b/>
                <w:bCs/>
                <w:iCs/>
                <w:sz w:val="20"/>
                <w:szCs w:val="20"/>
              </w:rPr>
            </w:pPr>
          </w:p>
        </w:tc>
        <w:tc>
          <w:tcPr>
            <w:tcW w:w="2640" w:type="dxa"/>
            <w:vAlign w:val="center"/>
          </w:tcPr>
          <w:p w14:paraId="56F79818" w14:textId="0FEBAA03" w:rsidR="00FC3460" w:rsidRPr="00205DFE" w:rsidRDefault="00FC3460" w:rsidP="00FC3460">
            <w:pPr>
              <w:spacing w:after="0"/>
              <w:ind w:right="-54"/>
              <w:jc w:val="right"/>
              <w:rPr>
                <w:b/>
                <w:bCs/>
                <w:iCs/>
                <w:sz w:val="20"/>
                <w:szCs w:val="20"/>
              </w:rPr>
            </w:pPr>
          </w:p>
        </w:tc>
      </w:tr>
    </w:tbl>
    <w:p w14:paraId="70C00A06" w14:textId="60E1B0DD" w:rsidR="008E6331" w:rsidRDefault="008E6331"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8E6331" w14:paraId="3034AA72" w14:textId="77777777" w:rsidTr="007822C8">
        <w:trPr>
          <w:trHeight w:val="350"/>
          <w:jc w:val="center"/>
        </w:trPr>
        <w:tc>
          <w:tcPr>
            <w:tcW w:w="10739" w:type="dxa"/>
            <w:gridSpan w:val="3"/>
            <w:shd w:val="clear" w:color="auto" w:fill="F9FBFD" w:themeFill="text2" w:themeFillTint="33"/>
            <w:vAlign w:val="center"/>
          </w:tcPr>
          <w:p w14:paraId="508C44B5" w14:textId="1E7E7F40" w:rsidR="008E6331" w:rsidRDefault="008E6331" w:rsidP="007822C8">
            <w:pPr>
              <w:spacing w:after="0"/>
              <w:rPr>
                <w:iCs/>
                <w:sz w:val="20"/>
                <w:szCs w:val="20"/>
              </w:rPr>
            </w:pPr>
            <w:r>
              <w:rPr>
                <w:sz w:val="20"/>
                <w:szCs w:val="20"/>
              </w:rPr>
              <w:t>NSP Strategic Area #:</w:t>
            </w:r>
            <w:r w:rsidR="006475C2">
              <w:t xml:space="preserve"> </w:t>
            </w:r>
            <w:r w:rsidR="006475C2" w:rsidRPr="006475C2">
              <w:rPr>
                <w:sz w:val="20"/>
                <w:szCs w:val="20"/>
              </w:rPr>
              <w:t>Case finding, diagnosis and treatment of MDR-TB cases</w:t>
            </w:r>
          </w:p>
        </w:tc>
      </w:tr>
      <w:tr w:rsidR="008E6331" w:rsidRPr="00205DFE" w14:paraId="55CDBA3D" w14:textId="77777777" w:rsidTr="007822C8">
        <w:trPr>
          <w:trHeight w:val="736"/>
          <w:jc w:val="center"/>
        </w:trPr>
        <w:tc>
          <w:tcPr>
            <w:tcW w:w="2369" w:type="dxa"/>
            <w:shd w:val="clear" w:color="auto" w:fill="F9FBFD" w:themeFill="text2" w:themeFillTint="33"/>
            <w:vAlign w:val="center"/>
          </w:tcPr>
          <w:p w14:paraId="6F7BB752" w14:textId="77777777" w:rsidR="008E6331" w:rsidRPr="00205DFE" w:rsidRDefault="008E6331" w:rsidP="007822C8">
            <w:pPr>
              <w:spacing w:after="0"/>
              <w:jc w:val="center"/>
              <w:rPr>
                <w:sz w:val="20"/>
                <w:szCs w:val="20"/>
              </w:rPr>
            </w:pPr>
            <w:r>
              <w:rPr>
                <w:sz w:val="20"/>
                <w:szCs w:val="20"/>
              </w:rPr>
              <w:t>Intervention</w:t>
            </w:r>
          </w:p>
        </w:tc>
        <w:tc>
          <w:tcPr>
            <w:tcW w:w="5625" w:type="dxa"/>
            <w:shd w:val="clear" w:color="auto" w:fill="F9FBFD" w:themeFill="text2" w:themeFillTint="33"/>
            <w:vAlign w:val="center"/>
          </w:tcPr>
          <w:p w14:paraId="7834B1CE" w14:textId="77777777" w:rsidR="008E6331" w:rsidRPr="00205DFE" w:rsidRDefault="008E6331" w:rsidP="007822C8">
            <w:pPr>
              <w:spacing w:after="0"/>
              <w:jc w:val="center"/>
              <w:rPr>
                <w:iCs/>
                <w:sz w:val="20"/>
                <w:szCs w:val="20"/>
              </w:rPr>
            </w:pPr>
            <w:r>
              <w:rPr>
                <w:sz w:val="20"/>
                <w:szCs w:val="20"/>
              </w:rPr>
              <w:t>R</w:t>
            </w:r>
            <w:r w:rsidRPr="00283CBB">
              <w:rPr>
                <w:sz w:val="20"/>
                <w:szCs w:val="20"/>
              </w:rPr>
              <w:t>ationale for prioritization</w:t>
            </w:r>
            <w:r>
              <w:rPr>
                <w:sz w:val="20"/>
                <w:szCs w:val="20"/>
              </w:rPr>
              <w:t xml:space="preserve"> for Global Fund funding </w:t>
            </w:r>
          </w:p>
        </w:tc>
        <w:tc>
          <w:tcPr>
            <w:tcW w:w="2745" w:type="dxa"/>
            <w:shd w:val="clear" w:color="auto" w:fill="F9FBFD" w:themeFill="text2" w:themeFillTint="33"/>
            <w:vAlign w:val="center"/>
          </w:tcPr>
          <w:p w14:paraId="18963721" w14:textId="77777777" w:rsidR="008E6331" w:rsidRPr="00205DFE" w:rsidRDefault="008E6331" w:rsidP="007822C8">
            <w:pPr>
              <w:spacing w:after="0"/>
              <w:jc w:val="center"/>
              <w:rPr>
                <w:iCs/>
                <w:sz w:val="20"/>
                <w:szCs w:val="20"/>
              </w:rPr>
            </w:pPr>
            <w:r>
              <w:rPr>
                <w:iCs/>
                <w:sz w:val="20"/>
                <w:szCs w:val="20"/>
              </w:rPr>
              <w:t xml:space="preserve">Amount requested </w:t>
            </w:r>
            <w:r>
              <w:rPr>
                <w:iCs/>
                <w:sz w:val="20"/>
                <w:szCs w:val="20"/>
              </w:rPr>
              <w:br/>
              <w:t xml:space="preserve">from the Global Fund </w:t>
            </w:r>
            <w:r>
              <w:rPr>
                <w:iCs/>
                <w:sz w:val="20"/>
                <w:szCs w:val="20"/>
              </w:rPr>
              <w:br/>
            </w:r>
          </w:p>
        </w:tc>
      </w:tr>
      <w:tr w:rsidR="00FC3460" w:rsidRPr="00205DFE" w14:paraId="434597C9" w14:textId="77777777" w:rsidTr="007822C8">
        <w:trPr>
          <w:trHeight w:val="373"/>
          <w:jc w:val="center"/>
        </w:trPr>
        <w:tc>
          <w:tcPr>
            <w:tcW w:w="2369" w:type="dxa"/>
          </w:tcPr>
          <w:p w14:paraId="506E9A6A" w14:textId="6ED841E1" w:rsidR="00FC3460" w:rsidRPr="00205DFE" w:rsidRDefault="00FC3460" w:rsidP="00FC3460">
            <w:pPr>
              <w:pStyle w:val="ListParagraph"/>
              <w:tabs>
                <w:tab w:val="left" w:pos="63"/>
              </w:tabs>
              <w:spacing w:after="0"/>
              <w:ind w:left="63" w:right="-54"/>
              <w:contextualSpacing w:val="0"/>
              <w:rPr>
                <w:b/>
                <w:bCs/>
                <w:iCs/>
                <w:sz w:val="20"/>
                <w:szCs w:val="20"/>
              </w:rPr>
            </w:pPr>
            <w:r w:rsidRPr="00344C9B">
              <w:t>Continue social support policies for MDR−TB patients and incentive package for MDR−TB DOT Providers across all sites in the country.</w:t>
            </w:r>
          </w:p>
        </w:tc>
        <w:tc>
          <w:tcPr>
            <w:tcW w:w="5625" w:type="dxa"/>
          </w:tcPr>
          <w:p w14:paraId="3E26AFB2" w14:textId="36F22AD7" w:rsidR="00FC3460" w:rsidRPr="00205DFE" w:rsidRDefault="00FC3460" w:rsidP="00FC3460">
            <w:pPr>
              <w:pStyle w:val="ListParagraph"/>
              <w:tabs>
                <w:tab w:val="left" w:pos="338"/>
              </w:tabs>
              <w:spacing w:after="0"/>
              <w:ind w:left="0" w:right="-54"/>
              <w:contextualSpacing w:val="0"/>
              <w:rPr>
                <w:b/>
                <w:bCs/>
                <w:iCs/>
                <w:sz w:val="20"/>
                <w:szCs w:val="20"/>
              </w:rPr>
            </w:pPr>
            <w:r w:rsidRPr="00052348">
              <w:rPr>
                <w:b/>
                <w:bCs/>
                <w:iCs/>
                <w:sz w:val="20"/>
                <w:szCs w:val="20"/>
              </w:rPr>
              <w:t>Social support mechanisms for MDR-TB patients, as well as financial incentives for MDR-TB DOT providers have been very effective in ensuring treatment success. Under this strategy, successful models of patient support and incentives for treatment supporters will be continued.</w:t>
            </w:r>
          </w:p>
        </w:tc>
        <w:tc>
          <w:tcPr>
            <w:tcW w:w="2745" w:type="dxa"/>
          </w:tcPr>
          <w:p w14:paraId="6D2F1BAC" w14:textId="55DD622F" w:rsidR="00FC3460" w:rsidRPr="00FC3460" w:rsidRDefault="00FC3460" w:rsidP="00FC3460">
            <w:pPr>
              <w:spacing w:after="0"/>
              <w:jc w:val="right"/>
              <w:rPr>
                <w:b/>
                <w:bCs/>
                <w:iCs/>
                <w:sz w:val="20"/>
                <w:szCs w:val="20"/>
              </w:rPr>
            </w:pPr>
            <w:r w:rsidRPr="00FC3460">
              <w:rPr>
                <w:b/>
                <w:bCs/>
              </w:rPr>
              <w:t xml:space="preserve">  $2.962.941</w:t>
            </w:r>
          </w:p>
        </w:tc>
      </w:tr>
      <w:tr w:rsidR="00FC3460" w:rsidRPr="00205DFE" w14:paraId="20D96AC2" w14:textId="77777777" w:rsidTr="007822C8">
        <w:trPr>
          <w:trHeight w:val="373"/>
          <w:jc w:val="center"/>
        </w:trPr>
        <w:tc>
          <w:tcPr>
            <w:tcW w:w="2369" w:type="dxa"/>
          </w:tcPr>
          <w:p w14:paraId="2F9D1E60" w14:textId="742D7853" w:rsidR="00FC3460" w:rsidRPr="00205DFE" w:rsidRDefault="00FC3460" w:rsidP="00FC3460">
            <w:pPr>
              <w:pStyle w:val="ListParagraph"/>
              <w:tabs>
                <w:tab w:val="left" w:pos="63"/>
              </w:tabs>
              <w:spacing w:after="0"/>
              <w:ind w:left="63" w:right="-54"/>
              <w:contextualSpacing w:val="0"/>
              <w:rPr>
                <w:b/>
                <w:bCs/>
                <w:iCs/>
                <w:sz w:val="20"/>
                <w:szCs w:val="20"/>
              </w:rPr>
            </w:pPr>
            <w:r w:rsidRPr="00344C9B">
              <w:t>Ensure adequate diagnosis of patients with presumptive MDR TB at all NTP facilities</w:t>
            </w:r>
          </w:p>
        </w:tc>
        <w:tc>
          <w:tcPr>
            <w:tcW w:w="5625" w:type="dxa"/>
          </w:tcPr>
          <w:p w14:paraId="39A3184D" w14:textId="4A7C7D8C" w:rsidR="00FC3460" w:rsidRPr="00205DFE" w:rsidRDefault="00FC3460" w:rsidP="00FC3460">
            <w:pPr>
              <w:pStyle w:val="ListParagraph"/>
              <w:tabs>
                <w:tab w:val="left" w:pos="338"/>
              </w:tabs>
              <w:spacing w:after="0"/>
              <w:ind w:left="0" w:right="-54"/>
              <w:contextualSpacing w:val="0"/>
              <w:rPr>
                <w:b/>
                <w:bCs/>
                <w:iCs/>
                <w:sz w:val="20"/>
                <w:szCs w:val="20"/>
              </w:rPr>
            </w:pPr>
            <w:r w:rsidRPr="00052348">
              <w:rPr>
                <w:b/>
                <w:bCs/>
                <w:iCs/>
                <w:sz w:val="20"/>
                <w:szCs w:val="20"/>
              </w:rPr>
              <w:t xml:space="preserve">The adequate diagnosis of MDR TB </w:t>
            </w:r>
            <w:proofErr w:type="spellStart"/>
            <w:r w:rsidRPr="00052348">
              <w:rPr>
                <w:b/>
                <w:bCs/>
                <w:iCs/>
                <w:sz w:val="20"/>
                <w:szCs w:val="20"/>
              </w:rPr>
              <w:t>presumptives</w:t>
            </w:r>
            <w:proofErr w:type="spellEnd"/>
            <w:r w:rsidRPr="00052348">
              <w:rPr>
                <w:b/>
                <w:bCs/>
                <w:iCs/>
                <w:sz w:val="20"/>
                <w:szCs w:val="20"/>
              </w:rPr>
              <w:t xml:space="preserve"> will require adequate history taking by all TB care providers and access to gene </w:t>
            </w:r>
            <w:proofErr w:type="spellStart"/>
            <w:r w:rsidRPr="00052348">
              <w:rPr>
                <w:b/>
                <w:bCs/>
                <w:iCs/>
                <w:sz w:val="20"/>
                <w:szCs w:val="20"/>
              </w:rPr>
              <w:t>Xpert</w:t>
            </w:r>
            <w:proofErr w:type="spellEnd"/>
            <w:r w:rsidRPr="00052348">
              <w:rPr>
                <w:b/>
                <w:bCs/>
                <w:iCs/>
                <w:sz w:val="20"/>
                <w:szCs w:val="20"/>
              </w:rPr>
              <w:t xml:space="preserve"> at all facilities. Under this strategy, the training of TB care providers will be intensified to ensure adequate history taking of previous TB treatment and subsequent correct classification of patients by health care providers.</w:t>
            </w:r>
          </w:p>
        </w:tc>
        <w:tc>
          <w:tcPr>
            <w:tcW w:w="2745" w:type="dxa"/>
          </w:tcPr>
          <w:p w14:paraId="40E80A21" w14:textId="5EBB70B2" w:rsidR="00FC3460" w:rsidRPr="00FC3460" w:rsidRDefault="00FC3460" w:rsidP="00FC3460">
            <w:pPr>
              <w:spacing w:after="0"/>
              <w:jc w:val="right"/>
              <w:rPr>
                <w:b/>
                <w:bCs/>
                <w:iCs/>
                <w:sz w:val="20"/>
                <w:szCs w:val="20"/>
              </w:rPr>
            </w:pPr>
            <w:r w:rsidRPr="00FC3460">
              <w:rPr>
                <w:b/>
                <w:bCs/>
              </w:rPr>
              <w:t xml:space="preserve">  $987.379</w:t>
            </w:r>
          </w:p>
        </w:tc>
      </w:tr>
      <w:tr w:rsidR="00FC3460" w:rsidRPr="00205DFE" w14:paraId="6E99D879" w14:textId="77777777" w:rsidTr="007822C8">
        <w:trPr>
          <w:trHeight w:val="373"/>
          <w:jc w:val="center"/>
        </w:trPr>
        <w:tc>
          <w:tcPr>
            <w:tcW w:w="2369" w:type="dxa"/>
          </w:tcPr>
          <w:p w14:paraId="4677F0D8" w14:textId="0F6E0B6E" w:rsidR="00FC3460" w:rsidRPr="00205DFE" w:rsidRDefault="00FC3460" w:rsidP="00FC3460">
            <w:pPr>
              <w:pStyle w:val="ListParagraph"/>
              <w:tabs>
                <w:tab w:val="left" w:pos="63"/>
              </w:tabs>
              <w:spacing w:after="0"/>
              <w:ind w:left="63" w:right="-54"/>
              <w:contextualSpacing w:val="0"/>
              <w:rPr>
                <w:b/>
                <w:bCs/>
                <w:iCs/>
                <w:sz w:val="20"/>
                <w:szCs w:val="20"/>
              </w:rPr>
            </w:pPr>
            <w:r w:rsidRPr="00344C9B">
              <w:t>Ensure adequate management of drug side effects (</w:t>
            </w:r>
            <w:proofErr w:type="spellStart"/>
            <w:r w:rsidRPr="00344C9B">
              <w:t>aDSM</w:t>
            </w:r>
            <w:proofErr w:type="spellEnd"/>
            <w:r w:rsidRPr="00344C9B">
              <w:t>) under MDR TB treatment</w:t>
            </w:r>
          </w:p>
        </w:tc>
        <w:tc>
          <w:tcPr>
            <w:tcW w:w="5625" w:type="dxa"/>
          </w:tcPr>
          <w:p w14:paraId="2F5F09B2"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 xml:space="preserve">To improve the management of adverse effects a number of system strengthening initiatives and protocols are to be implemented: </w:t>
            </w:r>
          </w:p>
          <w:p w14:paraId="6C03B5D9"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1.</w:t>
            </w:r>
            <w:r w:rsidRPr="00052348">
              <w:rPr>
                <w:b/>
                <w:bCs/>
                <w:iCs/>
                <w:sz w:val="20"/>
                <w:szCs w:val="20"/>
              </w:rPr>
              <w:tab/>
              <w:t xml:space="preserve">The implementation of an initial enrollment intake form with a monthly encounter paper-based form (this form can also be in electronic format). </w:t>
            </w:r>
          </w:p>
          <w:p w14:paraId="65642AE9"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2.</w:t>
            </w:r>
            <w:r w:rsidRPr="00052348">
              <w:rPr>
                <w:b/>
                <w:bCs/>
                <w:iCs/>
                <w:sz w:val="20"/>
                <w:szCs w:val="20"/>
              </w:rPr>
              <w:tab/>
              <w:t xml:space="preserve">Improvements to the monitoring of smears and cultures while on treatment through inclusion of an MDR-TB module in </w:t>
            </w:r>
            <w:proofErr w:type="spellStart"/>
            <w:r w:rsidRPr="00052348">
              <w:rPr>
                <w:b/>
                <w:bCs/>
                <w:iCs/>
                <w:sz w:val="20"/>
                <w:szCs w:val="20"/>
              </w:rPr>
              <w:t>eTB</w:t>
            </w:r>
            <w:proofErr w:type="spellEnd"/>
            <w:r w:rsidRPr="00052348">
              <w:rPr>
                <w:b/>
                <w:bCs/>
                <w:iCs/>
                <w:sz w:val="20"/>
                <w:szCs w:val="20"/>
              </w:rPr>
              <w:t xml:space="preserve"> Manager </w:t>
            </w:r>
          </w:p>
          <w:p w14:paraId="4ECF07D5"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3.</w:t>
            </w:r>
            <w:r w:rsidRPr="00052348">
              <w:rPr>
                <w:b/>
                <w:bCs/>
                <w:iCs/>
                <w:sz w:val="20"/>
                <w:szCs w:val="20"/>
              </w:rPr>
              <w:tab/>
              <w:t xml:space="preserve">Monthly monitoring of potassium and creatinine while on the injectable agent.  Replacement of potassium (and magnesium) as needed. </w:t>
            </w:r>
          </w:p>
          <w:p w14:paraId="776C5263"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lastRenderedPageBreak/>
              <w:t>4.</w:t>
            </w:r>
            <w:r w:rsidRPr="00052348">
              <w:rPr>
                <w:b/>
                <w:bCs/>
                <w:iCs/>
                <w:sz w:val="20"/>
                <w:szCs w:val="20"/>
              </w:rPr>
              <w:tab/>
              <w:t xml:space="preserve">TSH monitoring every three months at minimum for signs of hypothyroidism in patients taking both PAS and ethionamide.  Patients receiving only ethionamide can have their TSH checked every six months. </w:t>
            </w:r>
          </w:p>
          <w:p w14:paraId="11A1A245"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5.</w:t>
            </w:r>
            <w:r w:rsidRPr="00052348">
              <w:rPr>
                <w:b/>
                <w:bCs/>
                <w:iCs/>
                <w:sz w:val="20"/>
                <w:szCs w:val="20"/>
              </w:rPr>
              <w:tab/>
              <w:t>Baseline and immediate audiometry implementation for all patients with hearing loss.</w:t>
            </w:r>
          </w:p>
          <w:p w14:paraId="00DADFC0"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6.</w:t>
            </w:r>
            <w:r w:rsidRPr="00052348">
              <w:rPr>
                <w:b/>
                <w:bCs/>
                <w:iCs/>
                <w:sz w:val="20"/>
                <w:szCs w:val="20"/>
              </w:rPr>
              <w:tab/>
              <w:t>Provision of ancillary medicines at no cost to all MDR-TB patients</w:t>
            </w:r>
          </w:p>
          <w:p w14:paraId="67C68271" w14:textId="77777777" w:rsidR="00FC3460" w:rsidRPr="00052348" w:rsidRDefault="00FC3460" w:rsidP="00FC3460">
            <w:pPr>
              <w:pStyle w:val="ListParagraph"/>
              <w:tabs>
                <w:tab w:val="left" w:pos="338"/>
              </w:tabs>
              <w:spacing w:after="0"/>
              <w:ind w:left="0" w:right="-57"/>
              <w:rPr>
                <w:b/>
                <w:bCs/>
                <w:iCs/>
                <w:sz w:val="20"/>
                <w:szCs w:val="20"/>
              </w:rPr>
            </w:pPr>
            <w:r w:rsidRPr="00052348">
              <w:rPr>
                <w:b/>
                <w:bCs/>
                <w:iCs/>
                <w:sz w:val="20"/>
                <w:szCs w:val="20"/>
              </w:rPr>
              <w:t>7.</w:t>
            </w:r>
            <w:r w:rsidRPr="00052348">
              <w:rPr>
                <w:b/>
                <w:bCs/>
                <w:iCs/>
                <w:sz w:val="20"/>
                <w:szCs w:val="20"/>
              </w:rPr>
              <w:tab/>
              <w:t xml:space="preserve">The measurement of BMI at the start of treatment to calculate and monitor nutritional status and support as needed. </w:t>
            </w:r>
          </w:p>
          <w:p w14:paraId="6BD932A5" w14:textId="77777777" w:rsidR="00FC3460" w:rsidRDefault="00FC3460" w:rsidP="00FC3460">
            <w:pPr>
              <w:pStyle w:val="ListParagraph"/>
              <w:tabs>
                <w:tab w:val="left" w:pos="338"/>
              </w:tabs>
              <w:spacing w:after="0"/>
              <w:ind w:left="0" w:right="-57"/>
              <w:rPr>
                <w:b/>
                <w:bCs/>
                <w:iCs/>
                <w:sz w:val="20"/>
                <w:szCs w:val="20"/>
              </w:rPr>
            </w:pPr>
            <w:r w:rsidRPr="00052348">
              <w:rPr>
                <w:b/>
                <w:bCs/>
                <w:iCs/>
                <w:sz w:val="20"/>
                <w:szCs w:val="20"/>
              </w:rPr>
              <w:t>8.</w:t>
            </w:r>
            <w:r w:rsidRPr="00052348">
              <w:rPr>
                <w:b/>
                <w:bCs/>
                <w:iCs/>
                <w:sz w:val="20"/>
                <w:szCs w:val="20"/>
              </w:rPr>
              <w:tab/>
              <w:t>Provision of home-based care, counseling &amp; support services by involving local/grass-root level NGO/CBO partners</w:t>
            </w:r>
          </w:p>
          <w:p w14:paraId="025F76FF" w14:textId="0F9A1050" w:rsidR="00FC3460" w:rsidRPr="00205DFE" w:rsidRDefault="00FC3460" w:rsidP="00FC3460">
            <w:pPr>
              <w:pStyle w:val="ListParagraph"/>
              <w:tabs>
                <w:tab w:val="left" w:pos="338"/>
              </w:tabs>
              <w:spacing w:after="0"/>
              <w:ind w:left="0" w:right="-57"/>
              <w:rPr>
                <w:b/>
                <w:bCs/>
                <w:iCs/>
                <w:sz w:val="20"/>
                <w:szCs w:val="20"/>
              </w:rPr>
            </w:pPr>
            <w:r>
              <w:rPr>
                <w:b/>
                <w:bCs/>
                <w:iCs/>
                <w:sz w:val="20"/>
                <w:szCs w:val="20"/>
              </w:rPr>
              <w:t>9. Reporting to the national level will be ensured and a</w:t>
            </w:r>
            <w:r w:rsidRPr="006B3C8C">
              <w:rPr>
                <w:b/>
                <w:bCs/>
                <w:iCs/>
                <w:sz w:val="20"/>
                <w:szCs w:val="20"/>
              </w:rPr>
              <w:t xml:space="preserve"> system </w:t>
            </w:r>
            <w:r>
              <w:rPr>
                <w:b/>
                <w:bCs/>
                <w:iCs/>
                <w:sz w:val="20"/>
                <w:szCs w:val="20"/>
              </w:rPr>
              <w:t>will</w:t>
            </w:r>
            <w:r w:rsidRPr="006B3C8C">
              <w:rPr>
                <w:b/>
                <w:bCs/>
                <w:iCs/>
                <w:sz w:val="20"/>
                <w:szCs w:val="20"/>
              </w:rPr>
              <w:t xml:space="preserve"> be developed for systematic reporting to DRAP analysis and review of data to influence policy changes where necessary</w:t>
            </w:r>
          </w:p>
        </w:tc>
        <w:tc>
          <w:tcPr>
            <w:tcW w:w="2745" w:type="dxa"/>
          </w:tcPr>
          <w:p w14:paraId="2364D706" w14:textId="2CF5199A" w:rsidR="00FC3460" w:rsidRPr="00FC3460" w:rsidRDefault="00FC3460" w:rsidP="00FC3460">
            <w:pPr>
              <w:spacing w:after="0"/>
              <w:jc w:val="right"/>
              <w:rPr>
                <w:b/>
                <w:bCs/>
                <w:iCs/>
                <w:sz w:val="20"/>
                <w:szCs w:val="20"/>
              </w:rPr>
            </w:pPr>
            <w:r w:rsidRPr="00FC3460">
              <w:rPr>
                <w:b/>
                <w:bCs/>
              </w:rPr>
              <w:lastRenderedPageBreak/>
              <w:t xml:space="preserve">  $379.299</w:t>
            </w:r>
          </w:p>
        </w:tc>
      </w:tr>
      <w:tr w:rsidR="00FC3460" w:rsidRPr="00205DFE" w14:paraId="19CFB600" w14:textId="77777777" w:rsidTr="007822C8">
        <w:trPr>
          <w:trHeight w:val="373"/>
          <w:jc w:val="center"/>
        </w:trPr>
        <w:tc>
          <w:tcPr>
            <w:tcW w:w="2369" w:type="dxa"/>
          </w:tcPr>
          <w:p w14:paraId="52AB8EF9" w14:textId="0BB9376E" w:rsidR="00FC3460" w:rsidRPr="00205DFE" w:rsidRDefault="00FC3460" w:rsidP="00FC3460">
            <w:pPr>
              <w:pStyle w:val="ListParagraph"/>
              <w:tabs>
                <w:tab w:val="left" w:pos="63"/>
              </w:tabs>
              <w:spacing w:after="0"/>
              <w:ind w:left="63" w:right="-54"/>
              <w:contextualSpacing w:val="0"/>
              <w:rPr>
                <w:b/>
                <w:bCs/>
                <w:iCs/>
                <w:sz w:val="20"/>
                <w:szCs w:val="20"/>
              </w:rPr>
            </w:pPr>
            <w:r w:rsidRPr="00344C9B">
              <w:lastRenderedPageBreak/>
              <w:t>Ensure fully functional RTRLs</w:t>
            </w:r>
          </w:p>
        </w:tc>
        <w:tc>
          <w:tcPr>
            <w:tcW w:w="5625" w:type="dxa"/>
          </w:tcPr>
          <w:p w14:paraId="1A98C0AC" w14:textId="412BD147" w:rsidR="00FC3460" w:rsidRPr="00205DFE" w:rsidRDefault="00FC3460" w:rsidP="00FC3460">
            <w:pPr>
              <w:pStyle w:val="ListParagraph"/>
              <w:tabs>
                <w:tab w:val="left" w:pos="338"/>
              </w:tabs>
              <w:spacing w:after="0"/>
              <w:ind w:left="0" w:right="-54"/>
              <w:contextualSpacing w:val="0"/>
              <w:rPr>
                <w:b/>
                <w:bCs/>
                <w:iCs/>
                <w:sz w:val="20"/>
                <w:szCs w:val="20"/>
              </w:rPr>
            </w:pPr>
            <w:r>
              <w:rPr>
                <w:b/>
                <w:bCs/>
                <w:iCs/>
                <w:sz w:val="20"/>
                <w:szCs w:val="20"/>
              </w:rPr>
              <w:t>Access to drug sensitivity testing for first- and second-line resistance is a key requirement for successful implementation of the MDR-TB strategy.</w:t>
            </w:r>
            <w:r w:rsidRPr="00052348">
              <w:rPr>
                <w:b/>
                <w:bCs/>
                <w:iCs/>
                <w:sz w:val="20"/>
                <w:szCs w:val="20"/>
              </w:rPr>
              <w:t xml:space="preserve"> This strategy will ensure that all RTRL offer the full range of diagnostic services, including solid and liquid culture, 1st/2nd line LPA and DST</w:t>
            </w:r>
            <w:r>
              <w:rPr>
                <w:b/>
                <w:bCs/>
                <w:iCs/>
                <w:sz w:val="20"/>
                <w:szCs w:val="20"/>
              </w:rPr>
              <w:t>.</w:t>
            </w:r>
          </w:p>
        </w:tc>
        <w:tc>
          <w:tcPr>
            <w:tcW w:w="2745" w:type="dxa"/>
          </w:tcPr>
          <w:p w14:paraId="712454A2" w14:textId="2F691771" w:rsidR="00FC3460" w:rsidRPr="00FC3460" w:rsidRDefault="00FC3460" w:rsidP="00FC3460">
            <w:pPr>
              <w:spacing w:after="0"/>
              <w:jc w:val="right"/>
              <w:rPr>
                <w:b/>
                <w:bCs/>
                <w:iCs/>
                <w:sz w:val="20"/>
                <w:szCs w:val="20"/>
              </w:rPr>
            </w:pPr>
            <w:r w:rsidRPr="00FC3460">
              <w:rPr>
                <w:b/>
                <w:bCs/>
              </w:rPr>
              <w:t xml:space="preserve">  $91.627</w:t>
            </w:r>
          </w:p>
        </w:tc>
      </w:tr>
      <w:tr w:rsidR="00FC3460" w:rsidRPr="00205DFE" w14:paraId="2F9F104C" w14:textId="77777777" w:rsidTr="007822C8">
        <w:trPr>
          <w:trHeight w:val="373"/>
          <w:jc w:val="center"/>
        </w:trPr>
        <w:tc>
          <w:tcPr>
            <w:tcW w:w="2369" w:type="dxa"/>
          </w:tcPr>
          <w:p w14:paraId="16CC2C3B" w14:textId="481455B1" w:rsidR="00FC3460" w:rsidRPr="00205DFE" w:rsidRDefault="00FC3460" w:rsidP="00FC3460">
            <w:pPr>
              <w:pStyle w:val="ListParagraph"/>
              <w:tabs>
                <w:tab w:val="left" w:pos="63"/>
              </w:tabs>
              <w:spacing w:after="0"/>
              <w:ind w:left="63" w:right="-54"/>
              <w:contextualSpacing w:val="0"/>
              <w:rPr>
                <w:b/>
                <w:bCs/>
                <w:iCs/>
                <w:sz w:val="20"/>
                <w:szCs w:val="20"/>
              </w:rPr>
            </w:pPr>
            <w:r w:rsidRPr="00344C9B">
              <w:t>Introduction of a fully oral MDR-TB treatment regimen</w:t>
            </w:r>
          </w:p>
        </w:tc>
        <w:tc>
          <w:tcPr>
            <w:tcW w:w="5625" w:type="dxa"/>
          </w:tcPr>
          <w:p w14:paraId="54E79CDE" w14:textId="0C7FDDCD" w:rsidR="00FC3460" w:rsidRPr="00052348" w:rsidRDefault="00FC3460" w:rsidP="00FC3460">
            <w:pPr>
              <w:pStyle w:val="ListParagraph"/>
              <w:tabs>
                <w:tab w:val="left" w:pos="338"/>
              </w:tabs>
              <w:ind w:left="0" w:right="-57"/>
              <w:rPr>
                <w:b/>
                <w:bCs/>
                <w:iCs/>
                <w:sz w:val="20"/>
                <w:szCs w:val="20"/>
              </w:rPr>
            </w:pPr>
            <w:r w:rsidRPr="00052348">
              <w:rPr>
                <w:b/>
                <w:bCs/>
                <w:iCs/>
                <w:sz w:val="20"/>
                <w:szCs w:val="20"/>
              </w:rPr>
              <w:t xml:space="preserve">The NTP has updated the RR/MDR </w:t>
            </w:r>
            <w:proofErr w:type="gramStart"/>
            <w:r w:rsidRPr="00052348">
              <w:rPr>
                <w:b/>
                <w:bCs/>
                <w:iCs/>
                <w:sz w:val="20"/>
                <w:szCs w:val="20"/>
              </w:rPr>
              <w:t>TB  regimens</w:t>
            </w:r>
            <w:proofErr w:type="gramEnd"/>
            <w:r w:rsidRPr="00052348">
              <w:rPr>
                <w:b/>
                <w:bCs/>
                <w:iCs/>
                <w:sz w:val="20"/>
                <w:szCs w:val="20"/>
              </w:rPr>
              <w:t xml:space="preserve"> for Bangladesh based on the recommendations in WHO’s 2019 DR-TB guideline, which include recommendations for the use of fully oral regimens.  </w:t>
            </w:r>
          </w:p>
          <w:p w14:paraId="31C97F0B" w14:textId="74538E7D" w:rsidR="00FC3460" w:rsidRPr="00205DFE" w:rsidRDefault="00FC3460" w:rsidP="00FC3460">
            <w:pPr>
              <w:pStyle w:val="ListParagraph"/>
              <w:tabs>
                <w:tab w:val="left" w:pos="338"/>
              </w:tabs>
              <w:spacing w:after="0"/>
              <w:ind w:left="0" w:right="-54"/>
              <w:contextualSpacing w:val="0"/>
              <w:rPr>
                <w:b/>
                <w:bCs/>
                <w:iCs/>
                <w:sz w:val="20"/>
                <w:szCs w:val="20"/>
              </w:rPr>
            </w:pPr>
            <w:r w:rsidRPr="00A377FA">
              <w:rPr>
                <w:b/>
                <w:bCs/>
                <w:iCs/>
                <w:sz w:val="20"/>
                <w:szCs w:val="20"/>
              </w:rPr>
              <w:t xml:space="preserve">Shorter, all-oral regimen </w:t>
            </w:r>
            <w:r>
              <w:rPr>
                <w:b/>
                <w:bCs/>
                <w:iCs/>
                <w:sz w:val="20"/>
                <w:szCs w:val="20"/>
              </w:rPr>
              <w:t>will be used</w:t>
            </w:r>
            <w:r w:rsidRPr="00A377FA">
              <w:rPr>
                <w:b/>
                <w:bCs/>
                <w:iCs/>
                <w:sz w:val="20"/>
                <w:szCs w:val="20"/>
              </w:rPr>
              <w:t xml:space="preserve"> for routine use (and this would be the main regimen for majority of the patients). </w:t>
            </w:r>
            <w:r w:rsidRPr="00052348">
              <w:rPr>
                <w:b/>
                <w:bCs/>
                <w:iCs/>
                <w:sz w:val="20"/>
                <w:szCs w:val="20"/>
              </w:rPr>
              <w:t>The NTP plans to use the fully oral regimens for 100% for MDR-TB patients by 2025.</w:t>
            </w:r>
          </w:p>
        </w:tc>
        <w:tc>
          <w:tcPr>
            <w:tcW w:w="2745" w:type="dxa"/>
          </w:tcPr>
          <w:p w14:paraId="1A1B97E6" w14:textId="5454EB5E" w:rsidR="00FC3460" w:rsidRPr="00FC3460" w:rsidRDefault="00FC3460" w:rsidP="00FC3460">
            <w:pPr>
              <w:spacing w:after="0"/>
              <w:jc w:val="right"/>
              <w:rPr>
                <w:b/>
                <w:bCs/>
                <w:iCs/>
                <w:sz w:val="20"/>
                <w:szCs w:val="20"/>
              </w:rPr>
            </w:pPr>
            <w:r w:rsidRPr="00FC3460">
              <w:rPr>
                <w:b/>
                <w:bCs/>
              </w:rPr>
              <w:t xml:space="preserve">  $12.370.239</w:t>
            </w:r>
          </w:p>
        </w:tc>
      </w:tr>
      <w:tr w:rsidR="00FC3460" w:rsidRPr="00205DFE" w14:paraId="564131EB" w14:textId="77777777" w:rsidTr="007822C8">
        <w:trPr>
          <w:trHeight w:val="404"/>
          <w:jc w:val="center"/>
        </w:trPr>
        <w:tc>
          <w:tcPr>
            <w:tcW w:w="2369" w:type="dxa"/>
          </w:tcPr>
          <w:p w14:paraId="5FDCCF10" w14:textId="4F283C1E" w:rsidR="00FC3460" w:rsidRPr="00205DFE" w:rsidRDefault="00FC3460" w:rsidP="00FC3460">
            <w:pPr>
              <w:pStyle w:val="ListParagraph"/>
              <w:tabs>
                <w:tab w:val="left" w:pos="63"/>
              </w:tabs>
              <w:spacing w:after="0"/>
              <w:ind w:left="63"/>
              <w:contextualSpacing w:val="0"/>
              <w:rPr>
                <w:b/>
                <w:bCs/>
                <w:iCs/>
                <w:sz w:val="20"/>
                <w:szCs w:val="20"/>
              </w:rPr>
            </w:pPr>
            <w:r w:rsidRPr="00344C9B">
              <w:t>Provide palliative care for patients without further treatment options</w:t>
            </w:r>
          </w:p>
        </w:tc>
        <w:tc>
          <w:tcPr>
            <w:tcW w:w="5625" w:type="dxa"/>
          </w:tcPr>
          <w:p w14:paraId="350078DF" w14:textId="09486020" w:rsidR="00FC3460" w:rsidRPr="00205DFE" w:rsidRDefault="00FC3460" w:rsidP="00FC3460">
            <w:pPr>
              <w:pStyle w:val="ListParagraph"/>
              <w:tabs>
                <w:tab w:val="left" w:pos="338"/>
              </w:tabs>
              <w:spacing w:after="0"/>
              <w:ind w:left="0" w:right="-54"/>
              <w:contextualSpacing w:val="0"/>
              <w:rPr>
                <w:b/>
                <w:bCs/>
                <w:iCs/>
                <w:sz w:val="20"/>
                <w:szCs w:val="20"/>
              </w:rPr>
            </w:pPr>
            <w:r w:rsidRPr="00052348">
              <w:rPr>
                <w:b/>
                <w:bCs/>
                <w:iCs/>
                <w:sz w:val="20"/>
                <w:szCs w:val="20"/>
              </w:rPr>
              <w:t>The NTP will ensure the provision of palliative care as well as social support for all patients who will not respond to either the MDR TB or XDR TB treatment regimen.</w:t>
            </w:r>
          </w:p>
        </w:tc>
        <w:tc>
          <w:tcPr>
            <w:tcW w:w="2745" w:type="dxa"/>
          </w:tcPr>
          <w:p w14:paraId="6E29D79A" w14:textId="32EB7733" w:rsidR="00FC3460" w:rsidRPr="00FC3460" w:rsidRDefault="00FC3460" w:rsidP="00FC3460">
            <w:pPr>
              <w:spacing w:after="0"/>
              <w:ind w:right="-54"/>
              <w:jc w:val="right"/>
              <w:rPr>
                <w:b/>
                <w:bCs/>
                <w:iCs/>
                <w:sz w:val="20"/>
                <w:szCs w:val="20"/>
              </w:rPr>
            </w:pPr>
            <w:r w:rsidRPr="00FC3460">
              <w:rPr>
                <w:b/>
                <w:bCs/>
              </w:rPr>
              <w:t xml:space="preserve">  $7.788</w:t>
            </w:r>
          </w:p>
        </w:tc>
      </w:tr>
      <w:tr w:rsidR="008E6331" w:rsidRPr="00205DFE" w14:paraId="42833760" w14:textId="77777777" w:rsidTr="007822C8">
        <w:trPr>
          <w:trHeight w:val="350"/>
          <w:jc w:val="center"/>
        </w:trPr>
        <w:tc>
          <w:tcPr>
            <w:tcW w:w="2369" w:type="dxa"/>
            <w:vAlign w:val="center"/>
          </w:tcPr>
          <w:p w14:paraId="1E24F1B2" w14:textId="77777777" w:rsidR="008E6331" w:rsidRPr="005E57A8" w:rsidRDefault="008E6331" w:rsidP="007822C8">
            <w:pPr>
              <w:pStyle w:val="ListParagraph"/>
              <w:tabs>
                <w:tab w:val="left" w:pos="63"/>
              </w:tabs>
              <w:spacing w:after="0"/>
              <w:ind w:left="63"/>
              <w:contextualSpacing w:val="0"/>
              <w:rPr>
                <w:bCs/>
                <w:i/>
                <w:iCs/>
                <w:sz w:val="20"/>
                <w:szCs w:val="20"/>
              </w:rPr>
            </w:pPr>
            <w:r w:rsidRPr="005E57A8">
              <w:rPr>
                <w:bCs/>
                <w:i/>
                <w:iCs/>
                <w:sz w:val="20"/>
                <w:szCs w:val="20"/>
              </w:rPr>
              <w:t>Add rows as relevant</w:t>
            </w:r>
          </w:p>
        </w:tc>
        <w:tc>
          <w:tcPr>
            <w:tcW w:w="5625" w:type="dxa"/>
          </w:tcPr>
          <w:p w14:paraId="0A58EDAB" w14:textId="77777777" w:rsidR="008E6331" w:rsidRPr="00205DFE" w:rsidRDefault="008E6331" w:rsidP="007822C8">
            <w:pPr>
              <w:pStyle w:val="ListParagraph"/>
              <w:tabs>
                <w:tab w:val="left" w:pos="338"/>
              </w:tabs>
              <w:spacing w:after="0"/>
              <w:ind w:left="0" w:right="-54"/>
              <w:contextualSpacing w:val="0"/>
              <w:rPr>
                <w:b/>
                <w:bCs/>
                <w:iCs/>
                <w:sz w:val="20"/>
                <w:szCs w:val="20"/>
              </w:rPr>
            </w:pPr>
          </w:p>
        </w:tc>
        <w:tc>
          <w:tcPr>
            <w:tcW w:w="2745" w:type="dxa"/>
            <w:vAlign w:val="center"/>
          </w:tcPr>
          <w:p w14:paraId="10A26ED9" w14:textId="77777777" w:rsidR="008E6331" w:rsidRPr="00205DFE" w:rsidRDefault="008E6331" w:rsidP="007822C8">
            <w:pPr>
              <w:spacing w:after="0"/>
              <w:ind w:right="-54"/>
              <w:jc w:val="right"/>
              <w:rPr>
                <w:b/>
                <w:bCs/>
                <w:iCs/>
                <w:sz w:val="20"/>
                <w:szCs w:val="20"/>
              </w:rPr>
            </w:pPr>
          </w:p>
        </w:tc>
      </w:tr>
    </w:tbl>
    <w:p w14:paraId="4D4AFB01" w14:textId="3EF02EB9" w:rsidR="008E6331" w:rsidRDefault="008E6331"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542"/>
        <w:gridCol w:w="4683"/>
        <w:gridCol w:w="3514"/>
      </w:tblGrid>
      <w:tr w:rsidR="008E6331" w14:paraId="2C20BA6E" w14:textId="77777777" w:rsidTr="00994D19">
        <w:trPr>
          <w:trHeight w:val="350"/>
          <w:jc w:val="center"/>
        </w:trPr>
        <w:tc>
          <w:tcPr>
            <w:tcW w:w="10739" w:type="dxa"/>
            <w:gridSpan w:val="3"/>
            <w:shd w:val="clear" w:color="auto" w:fill="F9FBFD" w:themeFill="text2" w:themeFillTint="33"/>
            <w:vAlign w:val="center"/>
          </w:tcPr>
          <w:p w14:paraId="339311DA" w14:textId="0AD8CE01" w:rsidR="008E6331" w:rsidRDefault="008E6331" w:rsidP="007822C8">
            <w:pPr>
              <w:spacing w:after="0"/>
              <w:rPr>
                <w:iCs/>
                <w:sz w:val="20"/>
                <w:szCs w:val="20"/>
              </w:rPr>
            </w:pPr>
            <w:r>
              <w:rPr>
                <w:sz w:val="20"/>
                <w:szCs w:val="20"/>
              </w:rPr>
              <w:t>NSP Strategic Area #:</w:t>
            </w:r>
            <w:r w:rsidR="00052348">
              <w:t xml:space="preserve"> </w:t>
            </w:r>
            <w:proofErr w:type="spellStart"/>
            <w:r w:rsidR="00E87EAA" w:rsidRPr="00E87EAA">
              <w:rPr>
                <w:sz w:val="20"/>
                <w:szCs w:val="20"/>
              </w:rPr>
              <w:t>Addresssing</w:t>
            </w:r>
            <w:proofErr w:type="spellEnd"/>
            <w:r w:rsidR="00E87EAA" w:rsidRPr="00E87EAA">
              <w:rPr>
                <w:sz w:val="20"/>
                <w:szCs w:val="20"/>
              </w:rPr>
              <w:t xml:space="preserve"> health care system bottlenecks</w:t>
            </w:r>
          </w:p>
        </w:tc>
      </w:tr>
      <w:tr w:rsidR="008E6331" w:rsidRPr="00205DFE" w14:paraId="52A8603E" w14:textId="77777777" w:rsidTr="00994D19">
        <w:trPr>
          <w:trHeight w:val="736"/>
          <w:jc w:val="center"/>
        </w:trPr>
        <w:tc>
          <w:tcPr>
            <w:tcW w:w="2542" w:type="dxa"/>
            <w:shd w:val="clear" w:color="auto" w:fill="F9FBFD" w:themeFill="text2" w:themeFillTint="33"/>
            <w:vAlign w:val="center"/>
          </w:tcPr>
          <w:p w14:paraId="7E9CC674" w14:textId="77777777" w:rsidR="008E6331" w:rsidRPr="00205DFE" w:rsidRDefault="008E6331" w:rsidP="007822C8">
            <w:pPr>
              <w:spacing w:after="0"/>
              <w:jc w:val="center"/>
              <w:rPr>
                <w:sz w:val="20"/>
                <w:szCs w:val="20"/>
              </w:rPr>
            </w:pPr>
            <w:r>
              <w:rPr>
                <w:sz w:val="20"/>
                <w:szCs w:val="20"/>
              </w:rPr>
              <w:t>Intervention</w:t>
            </w:r>
          </w:p>
        </w:tc>
        <w:tc>
          <w:tcPr>
            <w:tcW w:w="4683" w:type="dxa"/>
            <w:shd w:val="clear" w:color="auto" w:fill="F9FBFD" w:themeFill="text2" w:themeFillTint="33"/>
            <w:vAlign w:val="center"/>
          </w:tcPr>
          <w:p w14:paraId="5F764EB1" w14:textId="77777777" w:rsidR="008E6331" w:rsidRPr="00205DFE" w:rsidRDefault="008E6331" w:rsidP="007822C8">
            <w:pPr>
              <w:spacing w:after="0"/>
              <w:jc w:val="center"/>
              <w:rPr>
                <w:iCs/>
                <w:sz w:val="20"/>
                <w:szCs w:val="20"/>
              </w:rPr>
            </w:pPr>
            <w:r>
              <w:rPr>
                <w:sz w:val="20"/>
                <w:szCs w:val="20"/>
              </w:rPr>
              <w:t>R</w:t>
            </w:r>
            <w:r w:rsidRPr="00283CBB">
              <w:rPr>
                <w:sz w:val="20"/>
                <w:szCs w:val="20"/>
              </w:rPr>
              <w:t>ationale for prioritization</w:t>
            </w:r>
            <w:r>
              <w:rPr>
                <w:sz w:val="20"/>
                <w:szCs w:val="20"/>
              </w:rPr>
              <w:t xml:space="preserve"> for Global Fund funding </w:t>
            </w:r>
          </w:p>
        </w:tc>
        <w:tc>
          <w:tcPr>
            <w:tcW w:w="3514" w:type="dxa"/>
            <w:shd w:val="clear" w:color="auto" w:fill="F9FBFD" w:themeFill="text2" w:themeFillTint="33"/>
            <w:vAlign w:val="center"/>
          </w:tcPr>
          <w:p w14:paraId="58B5D48F" w14:textId="77777777" w:rsidR="008E6331" w:rsidRPr="00205DFE" w:rsidRDefault="008E6331" w:rsidP="007822C8">
            <w:pPr>
              <w:spacing w:after="0"/>
              <w:jc w:val="center"/>
              <w:rPr>
                <w:iCs/>
                <w:sz w:val="20"/>
                <w:szCs w:val="20"/>
              </w:rPr>
            </w:pPr>
            <w:r>
              <w:rPr>
                <w:iCs/>
                <w:sz w:val="20"/>
                <w:szCs w:val="20"/>
              </w:rPr>
              <w:t xml:space="preserve">Amount requested </w:t>
            </w:r>
            <w:r>
              <w:rPr>
                <w:iCs/>
                <w:sz w:val="20"/>
                <w:szCs w:val="20"/>
              </w:rPr>
              <w:br/>
              <w:t xml:space="preserve">from the Global Fund </w:t>
            </w:r>
            <w:r>
              <w:rPr>
                <w:iCs/>
                <w:sz w:val="20"/>
                <w:szCs w:val="20"/>
              </w:rPr>
              <w:br/>
            </w:r>
          </w:p>
        </w:tc>
      </w:tr>
      <w:tr w:rsidR="00FC3460" w:rsidRPr="00205DFE" w14:paraId="31FE2059" w14:textId="77777777" w:rsidTr="00994D19">
        <w:trPr>
          <w:trHeight w:val="373"/>
          <w:jc w:val="center"/>
        </w:trPr>
        <w:tc>
          <w:tcPr>
            <w:tcW w:w="2542" w:type="dxa"/>
          </w:tcPr>
          <w:p w14:paraId="208112C0" w14:textId="4510FFE9" w:rsidR="00FC3460" w:rsidRPr="00205DFE" w:rsidRDefault="00FC3460" w:rsidP="00FC3460">
            <w:pPr>
              <w:pStyle w:val="ListParagraph"/>
              <w:tabs>
                <w:tab w:val="left" w:pos="63"/>
              </w:tabs>
              <w:spacing w:after="0"/>
              <w:ind w:left="63" w:right="-54"/>
              <w:contextualSpacing w:val="0"/>
              <w:rPr>
                <w:b/>
                <w:bCs/>
                <w:iCs/>
                <w:sz w:val="20"/>
                <w:szCs w:val="20"/>
              </w:rPr>
            </w:pPr>
            <w:r w:rsidRPr="009D631F">
              <w:t>Build, maintain and update Infrastructure for quality TB  care (new construction , upgradation and maintenance)</w:t>
            </w:r>
          </w:p>
        </w:tc>
        <w:tc>
          <w:tcPr>
            <w:tcW w:w="4683" w:type="dxa"/>
          </w:tcPr>
          <w:p w14:paraId="35F2D382" w14:textId="60449BC6" w:rsidR="00FC3460" w:rsidRDefault="00FC3460" w:rsidP="00FC3460">
            <w:pPr>
              <w:pStyle w:val="ListParagraph"/>
              <w:tabs>
                <w:tab w:val="left" w:pos="338"/>
              </w:tabs>
              <w:spacing w:after="0"/>
              <w:ind w:left="0" w:right="-57"/>
              <w:rPr>
                <w:b/>
                <w:bCs/>
                <w:iCs/>
                <w:sz w:val="20"/>
                <w:szCs w:val="20"/>
              </w:rPr>
            </w:pPr>
            <w:proofErr w:type="spellStart"/>
            <w:r>
              <w:rPr>
                <w:b/>
                <w:bCs/>
                <w:iCs/>
                <w:sz w:val="20"/>
                <w:szCs w:val="20"/>
              </w:rPr>
              <w:t>Well functioning</w:t>
            </w:r>
            <w:proofErr w:type="spellEnd"/>
            <w:r>
              <w:rPr>
                <w:b/>
                <w:bCs/>
                <w:iCs/>
                <w:sz w:val="20"/>
                <w:szCs w:val="20"/>
              </w:rPr>
              <w:t xml:space="preserve"> infrastructure is a key requirement for successful program implementation. This strategy seeks to </w:t>
            </w:r>
            <w:proofErr w:type="gramStart"/>
            <w:r>
              <w:rPr>
                <w:b/>
                <w:bCs/>
                <w:iCs/>
                <w:sz w:val="20"/>
                <w:szCs w:val="20"/>
              </w:rPr>
              <w:t xml:space="preserve">ensure </w:t>
            </w:r>
            <w:r w:rsidRPr="00052348">
              <w:rPr>
                <w:b/>
                <w:bCs/>
                <w:iCs/>
                <w:sz w:val="20"/>
                <w:szCs w:val="20"/>
              </w:rPr>
              <w:t xml:space="preserve"> full</w:t>
            </w:r>
            <w:proofErr w:type="gramEnd"/>
            <w:r w:rsidRPr="00052348">
              <w:rPr>
                <w:b/>
                <w:bCs/>
                <w:iCs/>
                <w:sz w:val="20"/>
                <w:szCs w:val="20"/>
              </w:rPr>
              <w:t xml:space="preserve"> operationalization and utilization of </w:t>
            </w:r>
            <w:r>
              <w:rPr>
                <w:b/>
                <w:bCs/>
                <w:iCs/>
                <w:sz w:val="20"/>
                <w:szCs w:val="20"/>
              </w:rPr>
              <w:t>all</w:t>
            </w:r>
            <w:r w:rsidRPr="00052348">
              <w:rPr>
                <w:b/>
                <w:bCs/>
                <w:iCs/>
                <w:sz w:val="20"/>
                <w:szCs w:val="20"/>
              </w:rPr>
              <w:t xml:space="preserve"> health facilities. </w:t>
            </w:r>
          </w:p>
          <w:p w14:paraId="12B91CA1" w14:textId="153A81A0" w:rsidR="00FC3460" w:rsidRPr="00205DFE" w:rsidRDefault="00FC3460" w:rsidP="00FC3460">
            <w:pPr>
              <w:pStyle w:val="ListParagraph"/>
              <w:tabs>
                <w:tab w:val="left" w:pos="338"/>
              </w:tabs>
              <w:spacing w:after="0"/>
              <w:ind w:left="0" w:right="-57"/>
              <w:contextualSpacing w:val="0"/>
              <w:rPr>
                <w:b/>
                <w:bCs/>
                <w:iCs/>
                <w:sz w:val="20"/>
                <w:szCs w:val="20"/>
              </w:rPr>
            </w:pPr>
            <w:r>
              <w:rPr>
                <w:b/>
                <w:bCs/>
                <w:iCs/>
                <w:sz w:val="20"/>
                <w:szCs w:val="20"/>
              </w:rPr>
              <w:t xml:space="preserve">The total NSP budget for this component is USD 32.1 Million, of which the GOB will cover 30.1 Million. GF support is sought to address some remaining </w:t>
            </w:r>
            <w:proofErr w:type="spellStart"/>
            <w:r>
              <w:rPr>
                <w:b/>
                <w:bCs/>
                <w:iCs/>
                <w:sz w:val="20"/>
                <w:szCs w:val="20"/>
              </w:rPr>
              <w:t>fundig</w:t>
            </w:r>
            <w:proofErr w:type="spellEnd"/>
            <w:r>
              <w:rPr>
                <w:b/>
                <w:bCs/>
                <w:iCs/>
                <w:sz w:val="20"/>
                <w:szCs w:val="20"/>
              </w:rPr>
              <w:t xml:space="preserve"> gaps.</w:t>
            </w:r>
          </w:p>
        </w:tc>
        <w:tc>
          <w:tcPr>
            <w:tcW w:w="3514" w:type="dxa"/>
          </w:tcPr>
          <w:p w14:paraId="628C0DE6" w14:textId="07736082" w:rsidR="00FC3460" w:rsidRPr="00C31DBE" w:rsidRDefault="00FC3460" w:rsidP="00C31DBE">
            <w:pPr>
              <w:spacing w:after="0"/>
              <w:jc w:val="right"/>
              <w:rPr>
                <w:b/>
                <w:bCs/>
                <w:iCs/>
                <w:sz w:val="20"/>
                <w:szCs w:val="20"/>
              </w:rPr>
            </w:pPr>
            <w:r w:rsidRPr="00C31DBE">
              <w:rPr>
                <w:b/>
                <w:bCs/>
              </w:rPr>
              <w:t xml:space="preserve">  $617.882</w:t>
            </w:r>
          </w:p>
        </w:tc>
      </w:tr>
      <w:tr w:rsidR="00FC3460" w:rsidRPr="00205DFE" w14:paraId="3B639381" w14:textId="77777777" w:rsidTr="00994D19">
        <w:trPr>
          <w:trHeight w:val="373"/>
          <w:jc w:val="center"/>
        </w:trPr>
        <w:tc>
          <w:tcPr>
            <w:tcW w:w="2542" w:type="dxa"/>
          </w:tcPr>
          <w:p w14:paraId="7C7C2478" w14:textId="38365F51" w:rsidR="00FC3460" w:rsidRPr="00205DFE" w:rsidRDefault="00FC3460" w:rsidP="00FC3460">
            <w:pPr>
              <w:pStyle w:val="ListParagraph"/>
              <w:tabs>
                <w:tab w:val="left" w:pos="63"/>
              </w:tabs>
              <w:spacing w:after="0"/>
              <w:ind w:left="63" w:right="-54"/>
              <w:contextualSpacing w:val="0"/>
              <w:rPr>
                <w:b/>
                <w:bCs/>
                <w:iCs/>
                <w:sz w:val="20"/>
                <w:szCs w:val="20"/>
              </w:rPr>
            </w:pPr>
            <w:r w:rsidRPr="009D631F">
              <w:t>Capacity building on PSM both in core PSM personnel as well as other related (especially at field level)</w:t>
            </w:r>
          </w:p>
        </w:tc>
        <w:tc>
          <w:tcPr>
            <w:tcW w:w="4683" w:type="dxa"/>
          </w:tcPr>
          <w:p w14:paraId="419019C3" w14:textId="3EA88418" w:rsidR="00FC3460" w:rsidRPr="00205DFE" w:rsidRDefault="00FC3460" w:rsidP="00FC3460">
            <w:pPr>
              <w:pStyle w:val="ListParagraph"/>
              <w:tabs>
                <w:tab w:val="left" w:pos="338"/>
              </w:tabs>
              <w:spacing w:after="0"/>
              <w:ind w:left="0" w:right="-57"/>
              <w:rPr>
                <w:b/>
                <w:bCs/>
                <w:iCs/>
                <w:sz w:val="20"/>
                <w:szCs w:val="20"/>
              </w:rPr>
            </w:pPr>
            <w:r>
              <w:rPr>
                <w:b/>
                <w:bCs/>
                <w:iCs/>
                <w:sz w:val="20"/>
                <w:szCs w:val="20"/>
              </w:rPr>
              <w:t>this intervention seeks t</w:t>
            </w:r>
            <w:r w:rsidRPr="00052348">
              <w:rPr>
                <w:b/>
                <w:bCs/>
                <w:iCs/>
                <w:sz w:val="20"/>
                <w:szCs w:val="20"/>
              </w:rPr>
              <w:t xml:space="preserve">o improve capacity and leadership role of the central logistics team in the management of logistics/supply chain issues at lower levels and to mitigate gaps in knowledge, skills, practice of the field staff involved in logistics/supply management (store </w:t>
            </w:r>
            <w:r w:rsidRPr="00052348">
              <w:rPr>
                <w:b/>
                <w:bCs/>
                <w:iCs/>
                <w:sz w:val="20"/>
                <w:szCs w:val="20"/>
              </w:rPr>
              <w:lastRenderedPageBreak/>
              <w:t>keepers, TLCA, PO)</w:t>
            </w:r>
            <w:r>
              <w:rPr>
                <w:b/>
                <w:bCs/>
                <w:iCs/>
                <w:sz w:val="20"/>
                <w:szCs w:val="20"/>
              </w:rPr>
              <w:t>. C</w:t>
            </w:r>
            <w:r w:rsidRPr="00052348">
              <w:rPr>
                <w:b/>
                <w:bCs/>
                <w:iCs/>
                <w:sz w:val="20"/>
                <w:szCs w:val="20"/>
              </w:rPr>
              <w:t xml:space="preserve">apacity building interventions like training and supportive supervision </w:t>
            </w:r>
            <w:r>
              <w:rPr>
                <w:b/>
                <w:bCs/>
                <w:iCs/>
                <w:sz w:val="20"/>
                <w:szCs w:val="20"/>
              </w:rPr>
              <w:t>are a key component</w:t>
            </w:r>
            <w:r w:rsidRPr="00052348">
              <w:rPr>
                <w:b/>
                <w:bCs/>
                <w:iCs/>
                <w:sz w:val="20"/>
                <w:szCs w:val="20"/>
              </w:rPr>
              <w:t>.</w:t>
            </w:r>
          </w:p>
        </w:tc>
        <w:tc>
          <w:tcPr>
            <w:tcW w:w="3514" w:type="dxa"/>
          </w:tcPr>
          <w:p w14:paraId="50392595" w14:textId="633A0B89" w:rsidR="00FC3460" w:rsidRPr="00C31DBE" w:rsidRDefault="00FC3460" w:rsidP="00C31DBE">
            <w:pPr>
              <w:spacing w:after="0"/>
              <w:jc w:val="right"/>
              <w:rPr>
                <w:b/>
                <w:bCs/>
                <w:iCs/>
                <w:sz w:val="20"/>
                <w:szCs w:val="20"/>
              </w:rPr>
            </w:pPr>
            <w:r w:rsidRPr="00C31DBE">
              <w:rPr>
                <w:b/>
                <w:bCs/>
              </w:rPr>
              <w:lastRenderedPageBreak/>
              <w:t xml:space="preserve">  $356.812</w:t>
            </w:r>
          </w:p>
        </w:tc>
      </w:tr>
      <w:tr w:rsidR="00FC3460" w:rsidRPr="00205DFE" w14:paraId="4D36A053" w14:textId="77777777" w:rsidTr="00994D19">
        <w:trPr>
          <w:trHeight w:val="373"/>
          <w:jc w:val="center"/>
        </w:trPr>
        <w:tc>
          <w:tcPr>
            <w:tcW w:w="2542" w:type="dxa"/>
          </w:tcPr>
          <w:p w14:paraId="2398F658" w14:textId="18F37FD1" w:rsidR="00FC3460" w:rsidRPr="00205DFE" w:rsidRDefault="00FC3460" w:rsidP="00FC3460">
            <w:pPr>
              <w:pStyle w:val="ListParagraph"/>
              <w:tabs>
                <w:tab w:val="left" w:pos="63"/>
              </w:tabs>
              <w:spacing w:after="0"/>
              <w:ind w:left="63" w:right="-54"/>
              <w:contextualSpacing w:val="0"/>
              <w:rPr>
                <w:b/>
                <w:bCs/>
                <w:iCs/>
                <w:sz w:val="20"/>
                <w:szCs w:val="20"/>
              </w:rPr>
            </w:pPr>
            <w:r w:rsidRPr="009D631F">
              <w:lastRenderedPageBreak/>
              <w:t>Improve Financial Capacity ensuring sustained resources for National TB Program Management</w:t>
            </w:r>
          </w:p>
        </w:tc>
        <w:tc>
          <w:tcPr>
            <w:tcW w:w="4683" w:type="dxa"/>
          </w:tcPr>
          <w:p w14:paraId="734F5234" w14:textId="011F8799" w:rsidR="00FC3460" w:rsidRPr="00052348" w:rsidRDefault="00FC3460" w:rsidP="00FC3460">
            <w:pPr>
              <w:pStyle w:val="ListParagraph"/>
              <w:tabs>
                <w:tab w:val="left" w:pos="338"/>
              </w:tabs>
              <w:spacing w:after="0"/>
              <w:ind w:left="0" w:right="-57"/>
              <w:rPr>
                <w:b/>
                <w:bCs/>
                <w:iCs/>
                <w:sz w:val="20"/>
                <w:szCs w:val="20"/>
              </w:rPr>
            </w:pPr>
            <w:r>
              <w:rPr>
                <w:b/>
                <w:bCs/>
                <w:iCs/>
                <w:sz w:val="20"/>
                <w:szCs w:val="20"/>
              </w:rPr>
              <w:t>This intervention</w:t>
            </w:r>
            <w:r w:rsidRPr="00052348">
              <w:rPr>
                <w:b/>
                <w:bCs/>
                <w:iCs/>
                <w:sz w:val="20"/>
                <w:szCs w:val="20"/>
              </w:rPr>
              <w:t xml:space="preserve"> aim</w:t>
            </w:r>
            <w:r>
              <w:rPr>
                <w:b/>
                <w:bCs/>
                <w:iCs/>
                <w:sz w:val="20"/>
                <w:szCs w:val="20"/>
              </w:rPr>
              <w:t xml:space="preserve">s </w:t>
            </w:r>
            <w:r w:rsidRPr="00052348">
              <w:rPr>
                <w:b/>
                <w:bCs/>
                <w:iCs/>
                <w:sz w:val="20"/>
                <w:szCs w:val="20"/>
              </w:rPr>
              <w:t xml:space="preserve">to achieve efficiency gains through improved budget management and </w:t>
            </w:r>
            <w:r>
              <w:rPr>
                <w:b/>
                <w:bCs/>
                <w:iCs/>
                <w:sz w:val="20"/>
                <w:szCs w:val="20"/>
              </w:rPr>
              <w:t xml:space="preserve">increase </w:t>
            </w:r>
            <w:r w:rsidRPr="00052348">
              <w:rPr>
                <w:b/>
                <w:bCs/>
                <w:iCs/>
                <w:sz w:val="20"/>
                <w:szCs w:val="20"/>
              </w:rPr>
              <w:t>fund absorption capacity</w:t>
            </w:r>
            <w:r>
              <w:rPr>
                <w:b/>
                <w:bCs/>
                <w:iCs/>
                <w:sz w:val="20"/>
                <w:szCs w:val="20"/>
              </w:rPr>
              <w:t xml:space="preserve">, </w:t>
            </w:r>
            <w:r w:rsidRPr="00052348">
              <w:rPr>
                <w:b/>
                <w:bCs/>
                <w:iCs/>
                <w:sz w:val="20"/>
                <w:szCs w:val="20"/>
              </w:rPr>
              <w:t>which in turn can yield additional financial resources</w:t>
            </w:r>
            <w:r>
              <w:rPr>
                <w:b/>
                <w:bCs/>
                <w:iCs/>
                <w:sz w:val="20"/>
                <w:szCs w:val="20"/>
              </w:rPr>
              <w:t xml:space="preserve"> to benefit the program.</w:t>
            </w:r>
          </w:p>
          <w:p w14:paraId="3E2F4D22" w14:textId="2DB38B2B" w:rsidR="00FC3460" w:rsidRPr="00205DFE" w:rsidRDefault="00FC3460" w:rsidP="00FC3460">
            <w:pPr>
              <w:pStyle w:val="ListParagraph"/>
              <w:tabs>
                <w:tab w:val="left" w:pos="338"/>
              </w:tabs>
              <w:spacing w:after="0"/>
              <w:ind w:left="0" w:right="-57"/>
              <w:contextualSpacing w:val="0"/>
              <w:rPr>
                <w:b/>
                <w:bCs/>
                <w:iCs/>
                <w:sz w:val="20"/>
                <w:szCs w:val="20"/>
              </w:rPr>
            </w:pPr>
          </w:p>
        </w:tc>
        <w:tc>
          <w:tcPr>
            <w:tcW w:w="3514" w:type="dxa"/>
          </w:tcPr>
          <w:p w14:paraId="37AEEFE9" w14:textId="6655A48F" w:rsidR="00FC3460" w:rsidRPr="00C31DBE" w:rsidRDefault="00FC3460" w:rsidP="00C31DBE">
            <w:pPr>
              <w:spacing w:after="0"/>
              <w:jc w:val="right"/>
              <w:rPr>
                <w:b/>
                <w:bCs/>
                <w:iCs/>
                <w:sz w:val="20"/>
                <w:szCs w:val="20"/>
              </w:rPr>
            </w:pPr>
            <w:r w:rsidRPr="00C31DBE">
              <w:rPr>
                <w:b/>
                <w:bCs/>
              </w:rPr>
              <w:t xml:space="preserve">  $56.706</w:t>
            </w:r>
          </w:p>
        </w:tc>
      </w:tr>
      <w:tr w:rsidR="00FC3460" w:rsidRPr="00205DFE" w14:paraId="6B9D3D5F" w14:textId="77777777" w:rsidTr="00994D19">
        <w:trPr>
          <w:trHeight w:val="373"/>
          <w:jc w:val="center"/>
        </w:trPr>
        <w:tc>
          <w:tcPr>
            <w:tcW w:w="2542" w:type="dxa"/>
          </w:tcPr>
          <w:p w14:paraId="35844270" w14:textId="466F73E5" w:rsidR="00FC3460" w:rsidRPr="00205DFE" w:rsidRDefault="00FC3460" w:rsidP="00FC3460">
            <w:pPr>
              <w:pStyle w:val="ListParagraph"/>
              <w:tabs>
                <w:tab w:val="left" w:pos="63"/>
              </w:tabs>
              <w:spacing w:after="0"/>
              <w:ind w:left="63" w:right="-54"/>
              <w:contextualSpacing w:val="0"/>
              <w:rPr>
                <w:b/>
                <w:bCs/>
                <w:iCs/>
                <w:sz w:val="20"/>
                <w:szCs w:val="20"/>
              </w:rPr>
            </w:pPr>
            <w:bookmarkStart w:id="15" w:name="_Hlk33671770"/>
            <w:r w:rsidRPr="009D631F">
              <w:t>Integration of TB data within Robust National Information System</w:t>
            </w:r>
            <w:bookmarkEnd w:id="15"/>
          </w:p>
        </w:tc>
        <w:tc>
          <w:tcPr>
            <w:tcW w:w="4683" w:type="dxa"/>
          </w:tcPr>
          <w:p w14:paraId="145CCB55" w14:textId="477470C8" w:rsidR="00FC3460" w:rsidRDefault="00FC3460" w:rsidP="00FC3460">
            <w:pPr>
              <w:pStyle w:val="ListParagraph"/>
              <w:tabs>
                <w:tab w:val="left" w:pos="338"/>
              </w:tabs>
              <w:spacing w:after="0"/>
              <w:ind w:left="0" w:right="-57"/>
              <w:rPr>
                <w:b/>
                <w:bCs/>
                <w:iCs/>
                <w:sz w:val="20"/>
                <w:szCs w:val="20"/>
              </w:rPr>
            </w:pPr>
            <w:r w:rsidRPr="00052348">
              <w:rPr>
                <w:b/>
                <w:bCs/>
                <w:iCs/>
                <w:sz w:val="20"/>
                <w:szCs w:val="20"/>
              </w:rPr>
              <w:t xml:space="preserve">In Bangladesh, 4th </w:t>
            </w:r>
            <w:proofErr w:type="spellStart"/>
            <w:r w:rsidRPr="00052348">
              <w:rPr>
                <w:b/>
                <w:bCs/>
                <w:iCs/>
                <w:sz w:val="20"/>
                <w:szCs w:val="20"/>
              </w:rPr>
              <w:t>SWAp</w:t>
            </w:r>
            <w:proofErr w:type="spellEnd"/>
            <w:r w:rsidRPr="00052348">
              <w:rPr>
                <w:b/>
                <w:bCs/>
                <w:iCs/>
                <w:sz w:val="20"/>
                <w:szCs w:val="20"/>
              </w:rPr>
              <w:t xml:space="preserve"> of MOHFW under 7th Five year prioritized to build a robust National Information System for routine data generation, analysis, interpretation, review and action. It further aimed to support the SDGs’ annual global reporting to keep track on national progress of SDGs inclusive of health related SDGs. For this, the MIS- DGHS already developed a prototype of National Health Information System to ensure effective use by all program under a data driven evidence generation and decision making policy framework. TB data </w:t>
            </w:r>
            <w:r>
              <w:rPr>
                <w:b/>
                <w:bCs/>
                <w:iCs/>
                <w:sz w:val="20"/>
                <w:szCs w:val="20"/>
              </w:rPr>
              <w:t xml:space="preserve">management system has </w:t>
            </w:r>
            <w:r w:rsidRPr="00052348">
              <w:rPr>
                <w:b/>
                <w:bCs/>
                <w:iCs/>
                <w:sz w:val="20"/>
                <w:szCs w:val="20"/>
              </w:rPr>
              <w:t xml:space="preserve">also been considered </w:t>
            </w:r>
            <w:r>
              <w:rPr>
                <w:b/>
                <w:bCs/>
                <w:iCs/>
                <w:sz w:val="20"/>
                <w:szCs w:val="20"/>
              </w:rPr>
              <w:t>for</w:t>
            </w:r>
            <w:r w:rsidRPr="00052348">
              <w:rPr>
                <w:b/>
                <w:bCs/>
                <w:iCs/>
                <w:sz w:val="20"/>
                <w:szCs w:val="20"/>
              </w:rPr>
              <w:t xml:space="preserve"> transfer </w:t>
            </w:r>
            <w:r>
              <w:rPr>
                <w:b/>
                <w:bCs/>
                <w:iCs/>
                <w:sz w:val="20"/>
                <w:szCs w:val="20"/>
              </w:rPr>
              <w:t>to</w:t>
            </w:r>
            <w:r w:rsidRPr="00052348">
              <w:rPr>
                <w:b/>
                <w:bCs/>
                <w:iCs/>
                <w:sz w:val="20"/>
                <w:szCs w:val="20"/>
              </w:rPr>
              <w:t xml:space="preserve"> DHIS2, but 100 % coverage yet not established due to gaps in capacity</w:t>
            </w:r>
            <w:r>
              <w:rPr>
                <w:b/>
                <w:bCs/>
                <w:iCs/>
                <w:sz w:val="20"/>
                <w:szCs w:val="20"/>
              </w:rPr>
              <w:t xml:space="preserve"> and other </w:t>
            </w:r>
            <w:r w:rsidRPr="00052348">
              <w:rPr>
                <w:b/>
                <w:bCs/>
                <w:iCs/>
                <w:sz w:val="20"/>
                <w:szCs w:val="20"/>
              </w:rPr>
              <w:t>system constraints</w:t>
            </w:r>
            <w:r>
              <w:rPr>
                <w:b/>
                <w:bCs/>
                <w:iCs/>
                <w:sz w:val="20"/>
                <w:szCs w:val="20"/>
              </w:rPr>
              <w:t>.</w:t>
            </w:r>
          </w:p>
          <w:p w14:paraId="2DF582D4" w14:textId="79B98492" w:rsidR="00FC3460" w:rsidRPr="00205DFE" w:rsidRDefault="00FC3460" w:rsidP="00FC3460">
            <w:pPr>
              <w:pStyle w:val="ListParagraph"/>
              <w:tabs>
                <w:tab w:val="left" w:pos="338"/>
              </w:tabs>
              <w:spacing w:after="0"/>
              <w:ind w:left="0" w:right="-57"/>
              <w:contextualSpacing w:val="0"/>
              <w:rPr>
                <w:b/>
                <w:bCs/>
                <w:iCs/>
                <w:sz w:val="20"/>
                <w:szCs w:val="20"/>
              </w:rPr>
            </w:pPr>
            <w:r>
              <w:rPr>
                <w:b/>
                <w:bCs/>
                <w:iCs/>
                <w:sz w:val="20"/>
                <w:szCs w:val="20"/>
              </w:rPr>
              <w:t>This intervention seeks to ensure</w:t>
            </w:r>
            <w:r w:rsidRPr="00052348">
              <w:rPr>
                <w:b/>
                <w:bCs/>
                <w:iCs/>
                <w:sz w:val="20"/>
                <w:szCs w:val="20"/>
              </w:rPr>
              <w:t xml:space="preserve"> 100% implementation of DHIS2</w:t>
            </w:r>
            <w:r>
              <w:rPr>
                <w:b/>
                <w:bCs/>
                <w:iCs/>
                <w:sz w:val="20"/>
                <w:szCs w:val="20"/>
              </w:rPr>
              <w:t xml:space="preserve"> for TB data management.</w:t>
            </w:r>
          </w:p>
        </w:tc>
        <w:tc>
          <w:tcPr>
            <w:tcW w:w="3514" w:type="dxa"/>
          </w:tcPr>
          <w:p w14:paraId="3EA8C513" w14:textId="0200E66E" w:rsidR="00FC3460" w:rsidRPr="00C31DBE" w:rsidRDefault="00FC3460" w:rsidP="00C31DBE">
            <w:pPr>
              <w:spacing w:after="0"/>
              <w:jc w:val="right"/>
              <w:rPr>
                <w:b/>
                <w:bCs/>
                <w:iCs/>
                <w:sz w:val="20"/>
                <w:szCs w:val="20"/>
              </w:rPr>
            </w:pPr>
            <w:r w:rsidRPr="00C31DBE">
              <w:rPr>
                <w:b/>
                <w:bCs/>
              </w:rPr>
              <w:t xml:space="preserve">  $54.569</w:t>
            </w:r>
          </w:p>
        </w:tc>
      </w:tr>
      <w:tr w:rsidR="00FC3460" w:rsidRPr="00205DFE" w14:paraId="5B336E1E" w14:textId="77777777" w:rsidTr="00994D19">
        <w:trPr>
          <w:trHeight w:val="373"/>
          <w:jc w:val="center"/>
        </w:trPr>
        <w:tc>
          <w:tcPr>
            <w:tcW w:w="2542" w:type="dxa"/>
          </w:tcPr>
          <w:p w14:paraId="4139778A" w14:textId="23CBFAEC" w:rsidR="00FC3460" w:rsidRPr="00205DFE" w:rsidRDefault="00FC3460" w:rsidP="00FC3460">
            <w:pPr>
              <w:pStyle w:val="ListParagraph"/>
              <w:tabs>
                <w:tab w:val="left" w:pos="63"/>
              </w:tabs>
              <w:spacing w:after="0"/>
              <w:ind w:left="63" w:right="-54"/>
              <w:contextualSpacing w:val="0"/>
              <w:rPr>
                <w:b/>
                <w:bCs/>
                <w:iCs/>
                <w:sz w:val="20"/>
                <w:szCs w:val="20"/>
              </w:rPr>
            </w:pPr>
            <w:bookmarkStart w:id="16" w:name="_Hlk33702089"/>
            <w:r w:rsidRPr="009D631F">
              <w:t>Maximize Capacity and  Efficiency of Health Workforce for integrated TB care</w:t>
            </w:r>
          </w:p>
        </w:tc>
        <w:tc>
          <w:tcPr>
            <w:tcW w:w="4683" w:type="dxa"/>
          </w:tcPr>
          <w:p w14:paraId="4C279D22" w14:textId="4EA56F28" w:rsidR="00FC3460" w:rsidRDefault="00FC3460" w:rsidP="00FC3460">
            <w:pPr>
              <w:pStyle w:val="ListParagraph"/>
              <w:tabs>
                <w:tab w:val="left" w:pos="338"/>
              </w:tabs>
              <w:spacing w:after="0"/>
              <w:ind w:left="0" w:right="-57"/>
              <w:rPr>
                <w:b/>
                <w:bCs/>
                <w:iCs/>
                <w:sz w:val="20"/>
                <w:szCs w:val="20"/>
              </w:rPr>
            </w:pPr>
            <w:r w:rsidRPr="00052348">
              <w:rPr>
                <w:b/>
                <w:bCs/>
                <w:iCs/>
                <w:sz w:val="20"/>
                <w:szCs w:val="20"/>
              </w:rPr>
              <w:t>The Bangladesh Health Care System in pluralistic in that a publicly financed health service delivery system co-exists with a privately financed health market which include the private health care system and an NGO health service delivery system. 8th JMM recommended that the role of NGOs can be re-examined and shift to fit within the public health care system to increase the service effectiveness and efficiency of GoB to undertake responsibility to sustain TB diagnosis, care and prevention under the leadership of GoB.</w:t>
            </w:r>
            <w:r>
              <w:rPr>
                <w:b/>
                <w:bCs/>
                <w:iCs/>
                <w:sz w:val="20"/>
                <w:szCs w:val="20"/>
              </w:rPr>
              <w:t xml:space="preserve"> This strategy will implement a new service integration model that will improve program efficiency through more effective collaboration with other disease programs as well as better integration of all partner activities in TB control.</w:t>
            </w:r>
          </w:p>
          <w:p w14:paraId="54ABB363" w14:textId="631B9FDD" w:rsidR="00FC3460" w:rsidRPr="00205DFE" w:rsidRDefault="00FC3460" w:rsidP="00FC3460">
            <w:pPr>
              <w:pStyle w:val="ListParagraph"/>
              <w:tabs>
                <w:tab w:val="left" w:pos="338"/>
              </w:tabs>
              <w:spacing w:after="0"/>
              <w:ind w:left="0" w:right="-57"/>
              <w:rPr>
                <w:b/>
                <w:bCs/>
                <w:iCs/>
                <w:sz w:val="20"/>
                <w:szCs w:val="20"/>
              </w:rPr>
            </w:pPr>
            <w:r w:rsidRPr="00DB0B07">
              <w:rPr>
                <w:b/>
                <w:bCs/>
                <w:iCs/>
                <w:sz w:val="20"/>
                <w:szCs w:val="20"/>
              </w:rPr>
              <w:t>Implementation of this strategy will be based on a phased approach which will ensure effective implementation of NTP activities at all sites during the transition period</w:t>
            </w:r>
            <w:r>
              <w:rPr>
                <w:b/>
                <w:bCs/>
                <w:iCs/>
                <w:sz w:val="20"/>
                <w:szCs w:val="20"/>
              </w:rPr>
              <w:t>.</w:t>
            </w:r>
          </w:p>
        </w:tc>
        <w:tc>
          <w:tcPr>
            <w:tcW w:w="3514" w:type="dxa"/>
          </w:tcPr>
          <w:p w14:paraId="5A0DB707" w14:textId="30F5BBA4" w:rsidR="00FC3460" w:rsidRPr="00C31DBE" w:rsidRDefault="00FC3460" w:rsidP="00C31DBE">
            <w:pPr>
              <w:spacing w:after="0"/>
              <w:jc w:val="right"/>
              <w:rPr>
                <w:b/>
                <w:bCs/>
                <w:iCs/>
                <w:sz w:val="20"/>
                <w:szCs w:val="20"/>
              </w:rPr>
            </w:pPr>
            <w:r w:rsidRPr="00C31DBE">
              <w:rPr>
                <w:b/>
                <w:bCs/>
              </w:rPr>
              <w:t xml:space="preserve">  $</w:t>
            </w:r>
            <w:r w:rsidR="00C31DBE" w:rsidRPr="00C31DBE">
              <w:rPr>
                <w:b/>
                <w:bCs/>
              </w:rPr>
              <w:t>10.715.010</w:t>
            </w:r>
          </w:p>
        </w:tc>
      </w:tr>
      <w:bookmarkEnd w:id="16"/>
      <w:tr w:rsidR="00FC3460" w:rsidRPr="00205DFE" w14:paraId="5CF001FF" w14:textId="77777777" w:rsidTr="00994D19">
        <w:trPr>
          <w:trHeight w:val="373"/>
          <w:jc w:val="center"/>
        </w:trPr>
        <w:tc>
          <w:tcPr>
            <w:tcW w:w="2542" w:type="dxa"/>
          </w:tcPr>
          <w:p w14:paraId="0F7DEE28" w14:textId="6365FBB6" w:rsidR="00FC3460" w:rsidRPr="00205DFE" w:rsidRDefault="00FC3460" w:rsidP="00FC3460">
            <w:pPr>
              <w:pStyle w:val="ListParagraph"/>
              <w:tabs>
                <w:tab w:val="left" w:pos="63"/>
              </w:tabs>
              <w:spacing w:after="0"/>
              <w:ind w:left="63" w:right="-54"/>
              <w:contextualSpacing w:val="0"/>
              <w:rPr>
                <w:b/>
                <w:bCs/>
                <w:iCs/>
                <w:sz w:val="20"/>
                <w:szCs w:val="20"/>
              </w:rPr>
            </w:pPr>
            <w:r w:rsidRPr="009D631F">
              <w:t>Promote a Rights-Based Approach to TB care and Prevention engaging relevant Stakeholders, Civil Societies and Affected Communities</w:t>
            </w:r>
          </w:p>
        </w:tc>
        <w:tc>
          <w:tcPr>
            <w:tcW w:w="4683" w:type="dxa"/>
          </w:tcPr>
          <w:p w14:paraId="1CEC7E98" w14:textId="3B6E45A1" w:rsidR="00FC3460" w:rsidRPr="00427DAB" w:rsidRDefault="00FC3460" w:rsidP="00FC3460">
            <w:pPr>
              <w:pStyle w:val="ListParagraph"/>
              <w:tabs>
                <w:tab w:val="left" w:pos="338"/>
              </w:tabs>
              <w:spacing w:after="0"/>
              <w:ind w:left="0" w:right="-57"/>
              <w:rPr>
                <w:b/>
                <w:bCs/>
                <w:iCs/>
                <w:sz w:val="20"/>
                <w:szCs w:val="20"/>
              </w:rPr>
            </w:pPr>
            <w:r w:rsidRPr="00427DAB">
              <w:rPr>
                <w:b/>
                <w:bCs/>
                <w:iCs/>
                <w:sz w:val="20"/>
                <w:szCs w:val="20"/>
              </w:rPr>
              <w:t>Taking into account, among others thing</w:t>
            </w:r>
            <w:r>
              <w:rPr>
                <w:b/>
                <w:bCs/>
                <w:iCs/>
                <w:sz w:val="20"/>
                <w:szCs w:val="20"/>
              </w:rPr>
              <w:t>s,</w:t>
            </w:r>
            <w:r w:rsidRPr="00427DAB">
              <w:rPr>
                <w:b/>
                <w:bCs/>
                <w:iCs/>
                <w:sz w:val="20"/>
                <w:szCs w:val="20"/>
              </w:rPr>
              <w:t xml:space="preserve"> the SDG Goal 2030, Political declaration of UNHLM and Stop TB partnership Global Plan to end TB and WHO End TB Strategy, </w:t>
            </w:r>
            <w:r>
              <w:rPr>
                <w:b/>
                <w:bCs/>
                <w:iCs/>
                <w:sz w:val="20"/>
                <w:szCs w:val="20"/>
              </w:rPr>
              <w:t>the NSP</w:t>
            </w:r>
            <w:r w:rsidRPr="00427DAB">
              <w:rPr>
                <w:b/>
                <w:bCs/>
                <w:iCs/>
                <w:sz w:val="20"/>
                <w:szCs w:val="20"/>
              </w:rPr>
              <w:t xml:space="preserve"> 2021- 2025  prioritized </w:t>
            </w:r>
            <w:r>
              <w:rPr>
                <w:b/>
                <w:bCs/>
                <w:iCs/>
                <w:sz w:val="20"/>
                <w:szCs w:val="20"/>
              </w:rPr>
              <w:t xml:space="preserve">a </w:t>
            </w:r>
            <w:r w:rsidRPr="00427DAB">
              <w:rPr>
                <w:b/>
                <w:bCs/>
                <w:iCs/>
                <w:sz w:val="20"/>
                <w:szCs w:val="20"/>
              </w:rPr>
              <w:t xml:space="preserve">new focus to establish the protection and promotion of human rights, ethics and equity, as well as strong coalitions with civil society organizations and </w:t>
            </w:r>
            <w:r w:rsidRPr="00427DAB">
              <w:rPr>
                <w:b/>
                <w:bCs/>
                <w:iCs/>
                <w:sz w:val="20"/>
                <w:szCs w:val="20"/>
              </w:rPr>
              <w:lastRenderedPageBreak/>
              <w:t>communities, as fundamental principles essential to the tuberculosis response.</w:t>
            </w:r>
          </w:p>
          <w:p w14:paraId="6D262023" w14:textId="0283985B" w:rsidR="00FC3460" w:rsidRPr="00205DFE" w:rsidRDefault="00FC3460" w:rsidP="00FC3460">
            <w:pPr>
              <w:pStyle w:val="ListParagraph"/>
              <w:tabs>
                <w:tab w:val="left" w:pos="338"/>
              </w:tabs>
              <w:spacing w:after="0"/>
              <w:ind w:left="0" w:right="-57"/>
              <w:rPr>
                <w:b/>
                <w:bCs/>
                <w:iCs/>
                <w:sz w:val="20"/>
                <w:szCs w:val="20"/>
              </w:rPr>
            </w:pPr>
            <w:r>
              <w:rPr>
                <w:b/>
                <w:bCs/>
                <w:iCs/>
                <w:sz w:val="20"/>
                <w:szCs w:val="20"/>
              </w:rPr>
              <w:t>This intervention seeks to implement this strategy through a comprehensive set of workshop, training and other community engagement activities.</w:t>
            </w:r>
            <w:r w:rsidRPr="00427DAB">
              <w:rPr>
                <w:b/>
                <w:bCs/>
                <w:iCs/>
                <w:sz w:val="20"/>
                <w:szCs w:val="20"/>
              </w:rPr>
              <w:t>.</w:t>
            </w:r>
          </w:p>
        </w:tc>
        <w:tc>
          <w:tcPr>
            <w:tcW w:w="3514" w:type="dxa"/>
          </w:tcPr>
          <w:p w14:paraId="6AABD3FA" w14:textId="3450558E" w:rsidR="00FC3460" w:rsidRPr="00052348" w:rsidRDefault="00FC3460" w:rsidP="00FC3460">
            <w:pPr>
              <w:spacing w:after="0"/>
              <w:jc w:val="right"/>
              <w:rPr>
                <w:b/>
                <w:bCs/>
                <w:iCs/>
                <w:sz w:val="20"/>
                <w:szCs w:val="20"/>
              </w:rPr>
            </w:pPr>
            <w:r w:rsidRPr="00052348">
              <w:rPr>
                <w:b/>
                <w:bCs/>
              </w:rPr>
              <w:lastRenderedPageBreak/>
              <w:t xml:space="preserve"> </w:t>
            </w:r>
            <w:r w:rsidRPr="00A106CB">
              <w:rPr>
                <w:b/>
                <w:bCs/>
              </w:rPr>
              <w:t xml:space="preserve"> $24.26</w:t>
            </w:r>
            <w:r>
              <w:rPr>
                <w:b/>
                <w:bCs/>
              </w:rPr>
              <w:t>5</w:t>
            </w:r>
          </w:p>
        </w:tc>
      </w:tr>
      <w:tr w:rsidR="00FC3460" w:rsidRPr="00205DFE" w14:paraId="31137C1F" w14:textId="77777777" w:rsidTr="00994D19">
        <w:trPr>
          <w:trHeight w:val="373"/>
          <w:jc w:val="center"/>
        </w:trPr>
        <w:tc>
          <w:tcPr>
            <w:tcW w:w="2542" w:type="dxa"/>
          </w:tcPr>
          <w:p w14:paraId="373322ED" w14:textId="5A765600" w:rsidR="00FC3460" w:rsidRPr="00205DFE" w:rsidRDefault="00FC3460" w:rsidP="00FC3460">
            <w:pPr>
              <w:pStyle w:val="ListParagraph"/>
              <w:tabs>
                <w:tab w:val="left" w:pos="63"/>
              </w:tabs>
              <w:spacing w:after="0"/>
              <w:ind w:left="63" w:right="-54"/>
              <w:contextualSpacing w:val="0"/>
              <w:rPr>
                <w:b/>
                <w:bCs/>
                <w:iCs/>
                <w:sz w:val="20"/>
                <w:szCs w:val="20"/>
              </w:rPr>
            </w:pPr>
            <w:r w:rsidRPr="009D631F">
              <w:lastRenderedPageBreak/>
              <w:t>Repair, maintenance and procurement of IT, diagnostic and other fixed assets/equipment</w:t>
            </w:r>
          </w:p>
        </w:tc>
        <w:tc>
          <w:tcPr>
            <w:tcW w:w="4683" w:type="dxa"/>
          </w:tcPr>
          <w:p w14:paraId="6EE4D5BC" w14:textId="09A13022" w:rsidR="00FC3460" w:rsidRPr="00427DAB" w:rsidRDefault="00FC3460" w:rsidP="00FC3460">
            <w:pPr>
              <w:pStyle w:val="ListParagraph"/>
              <w:tabs>
                <w:tab w:val="left" w:pos="338"/>
              </w:tabs>
              <w:spacing w:after="0"/>
              <w:ind w:left="0" w:right="-57"/>
              <w:rPr>
                <w:b/>
                <w:bCs/>
                <w:iCs/>
                <w:sz w:val="20"/>
                <w:szCs w:val="20"/>
              </w:rPr>
            </w:pPr>
            <w:r w:rsidRPr="00427DAB">
              <w:rPr>
                <w:b/>
                <w:bCs/>
                <w:iCs/>
                <w:sz w:val="20"/>
                <w:szCs w:val="20"/>
              </w:rPr>
              <w:t xml:space="preserve">To expand the accessibility of the service and ensure continuity by keeping the tools functional, procurement and repair/maintenance </w:t>
            </w:r>
            <w:r>
              <w:rPr>
                <w:b/>
                <w:bCs/>
                <w:iCs/>
                <w:sz w:val="20"/>
                <w:szCs w:val="20"/>
              </w:rPr>
              <w:t>is</w:t>
            </w:r>
            <w:r w:rsidRPr="00427DAB">
              <w:rPr>
                <w:b/>
                <w:bCs/>
                <w:iCs/>
                <w:sz w:val="20"/>
                <w:szCs w:val="20"/>
              </w:rPr>
              <w:t xml:space="preserve"> a pre-requisite.</w:t>
            </w:r>
          </w:p>
          <w:p w14:paraId="5BE88FB5" w14:textId="63BE2AB6" w:rsidR="00FC3460" w:rsidRPr="00205DFE" w:rsidRDefault="00FC3460" w:rsidP="00FC3460">
            <w:pPr>
              <w:pStyle w:val="ListParagraph"/>
              <w:numPr>
                <w:ilvl w:val="0"/>
                <w:numId w:val="17"/>
              </w:numPr>
              <w:tabs>
                <w:tab w:val="left" w:pos="338"/>
              </w:tabs>
              <w:spacing w:after="0"/>
              <w:ind w:left="0" w:right="-57"/>
              <w:contextualSpacing w:val="0"/>
              <w:rPr>
                <w:b/>
                <w:bCs/>
                <w:iCs/>
                <w:sz w:val="20"/>
                <w:szCs w:val="20"/>
              </w:rPr>
            </w:pPr>
            <w:r w:rsidRPr="00427DAB">
              <w:rPr>
                <w:b/>
                <w:bCs/>
                <w:iCs/>
                <w:sz w:val="20"/>
                <w:szCs w:val="20"/>
              </w:rPr>
              <w:t xml:space="preserve">In coordination with relevant </w:t>
            </w:r>
            <w:r>
              <w:rPr>
                <w:b/>
                <w:bCs/>
                <w:iCs/>
                <w:sz w:val="20"/>
                <w:szCs w:val="20"/>
              </w:rPr>
              <w:t xml:space="preserve">MOH </w:t>
            </w:r>
            <w:r w:rsidRPr="00427DAB">
              <w:rPr>
                <w:b/>
                <w:bCs/>
                <w:iCs/>
                <w:sz w:val="20"/>
                <w:szCs w:val="20"/>
              </w:rPr>
              <w:t>departments</w:t>
            </w:r>
            <w:r>
              <w:rPr>
                <w:b/>
                <w:bCs/>
                <w:iCs/>
                <w:sz w:val="20"/>
                <w:szCs w:val="20"/>
              </w:rPr>
              <w:t>, this strategy seeks to ensure effective infrastructure through</w:t>
            </w:r>
            <w:r w:rsidRPr="00427DAB">
              <w:rPr>
                <w:b/>
                <w:bCs/>
                <w:iCs/>
                <w:sz w:val="20"/>
                <w:szCs w:val="20"/>
              </w:rPr>
              <w:t xml:space="preserve"> procurement plans </w:t>
            </w:r>
            <w:r>
              <w:rPr>
                <w:b/>
                <w:bCs/>
                <w:iCs/>
                <w:sz w:val="20"/>
                <w:szCs w:val="20"/>
              </w:rPr>
              <w:t>taking into account</w:t>
            </w:r>
            <w:r w:rsidRPr="00427DAB">
              <w:rPr>
                <w:b/>
                <w:bCs/>
                <w:iCs/>
                <w:sz w:val="20"/>
                <w:szCs w:val="20"/>
              </w:rPr>
              <w:t xml:space="preserve"> life cycle</w:t>
            </w:r>
            <w:r>
              <w:rPr>
                <w:b/>
                <w:bCs/>
                <w:iCs/>
                <w:sz w:val="20"/>
                <w:szCs w:val="20"/>
              </w:rPr>
              <w:t xml:space="preserve"> and </w:t>
            </w:r>
            <w:r w:rsidRPr="00427DAB">
              <w:rPr>
                <w:b/>
                <w:bCs/>
                <w:iCs/>
                <w:sz w:val="20"/>
                <w:szCs w:val="20"/>
              </w:rPr>
              <w:t>warranty</w:t>
            </w:r>
            <w:r>
              <w:rPr>
                <w:b/>
                <w:bCs/>
                <w:iCs/>
                <w:sz w:val="20"/>
                <w:szCs w:val="20"/>
              </w:rPr>
              <w:t xml:space="preserve"> issues and ensuring regular</w:t>
            </w:r>
            <w:r w:rsidRPr="00427DAB">
              <w:rPr>
                <w:b/>
                <w:bCs/>
                <w:iCs/>
                <w:sz w:val="20"/>
                <w:szCs w:val="20"/>
              </w:rPr>
              <w:t xml:space="preserve"> servicing and repair/maintenance</w:t>
            </w:r>
            <w:r>
              <w:rPr>
                <w:b/>
                <w:bCs/>
                <w:iCs/>
                <w:sz w:val="20"/>
                <w:szCs w:val="20"/>
              </w:rPr>
              <w:t>.</w:t>
            </w:r>
          </w:p>
          <w:p w14:paraId="3FCFAFD8" w14:textId="66FEC02B" w:rsidR="00FC3460" w:rsidRPr="00205DFE" w:rsidRDefault="00FC3460" w:rsidP="00FC3460">
            <w:pPr>
              <w:pStyle w:val="ListParagraph"/>
              <w:tabs>
                <w:tab w:val="left" w:pos="338"/>
              </w:tabs>
              <w:spacing w:after="0"/>
              <w:ind w:left="0" w:right="-57"/>
              <w:contextualSpacing w:val="0"/>
              <w:rPr>
                <w:b/>
                <w:bCs/>
                <w:iCs/>
                <w:sz w:val="20"/>
                <w:szCs w:val="20"/>
              </w:rPr>
            </w:pPr>
          </w:p>
        </w:tc>
        <w:tc>
          <w:tcPr>
            <w:tcW w:w="3514" w:type="dxa"/>
          </w:tcPr>
          <w:p w14:paraId="1D99D1D4" w14:textId="53E0E568" w:rsidR="00FC3460" w:rsidRPr="00C31DBE" w:rsidRDefault="00FC3460" w:rsidP="00C31DBE">
            <w:pPr>
              <w:spacing w:after="0"/>
              <w:jc w:val="right"/>
              <w:rPr>
                <w:b/>
                <w:bCs/>
                <w:iCs/>
                <w:sz w:val="20"/>
                <w:szCs w:val="20"/>
              </w:rPr>
            </w:pPr>
            <w:r w:rsidRPr="00C31DBE">
              <w:rPr>
                <w:b/>
                <w:bCs/>
              </w:rPr>
              <w:t xml:space="preserve">  $216.287</w:t>
            </w:r>
          </w:p>
        </w:tc>
      </w:tr>
      <w:tr w:rsidR="00C31DBE" w:rsidRPr="00205DFE" w14:paraId="28CDC439" w14:textId="77777777" w:rsidTr="00994D19">
        <w:trPr>
          <w:trHeight w:val="373"/>
          <w:jc w:val="center"/>
        </w:trPr>
        <w:tc>
          <w:tcPr>
            <w:tcW w:w="2542" w:type="dxa"/>
          </w:tcPr>
          <w:p w14:paraId="6DC1A0B3" w14:textId="5DA77FC6" w:rsidR="00C31DBE" w:rsidRPr="009D631F" w:rsidRDefault="00C31DBE" w:rsidP="00C31DBE">
            <w:pPr>
              <w:tabs>
                <w:tab w:val="left" w:pos="63"/>
              </w:tabs>
              <w:spacing w:after="0"/>
              <w:ind w:right="-54"/>
            </w:pPr>
            <w:r w:rsidRPr="0051050B">
              <w:t>Strengthen partnership and coordination mechanisms for sustained TB Care</w:t>
            </w:r>
          </w:p>
        </w:tc>
        <w:tc>
          <w:tcPr>
            <w:tcW w:w="4683" w:type="dxa"/>
          </w:tcPr>
          <w:p w14:paraId="7DDDB6EE" w14:textId="77777777" w:rsidR="00C31DBE" w:rsidRPr="00427DAB" w:rsidRDefault="00C31DBE" w:rsidP="00C31DBE">
            <w:pPr>
              <w:pStyle w:val="ListParagraph"/>
              <w:tabs>
                <w:tab w:val="left" w:pos="338"/>
              </w:tabs>
              <w:spacing w:after="0"/>
              <w:ind w:left="0" w:right="-57"/>
              <w:rPr>
                <w:b/>
                <w:bCs/>
                <w:iCs/>
                <w:sz w:val="20"/>
                <w:szCs w:val="20"/>
              </w:rPr>
            </w:pPr>
            <w:r w:rsidRPr="00427DAB">
              <w:rPr>
                <w:b/>
                <w:bCs/>
                <w:iCs/>
                <w:sz w:val="20"/>
                <w:szCs w:val="20"/>
              </w:rPr>
              <w:t xml:space="preserve">Bangladesh was represented at the Moscow Ministerial meeting on TB that was held in November 2017 and was a signatory to the Ministerial Declaration that came out of this meeting in which countries committed to accelerate action to end TB to meet the milestones towards achieving the SDGs. An important outcome of this meeting was the commitment by countries to pursue a multi – sectoral approach with engagement of Government at the highest possible level to the fight against TB. </w:t>
            </w:r>
            <w:r>
              <w:rPr>
                <w:b/>
                <w:bCs/>
                <w:iCs/>
                <w:sz w:val="20"/>
                <w:szCs w:val="20"/>
              </w:rPr>
              <w:t xml:space="preserve">This strategy will ensure the effective implementation of a </w:t>
            </w:r>
            <w:r w:rsidRPr="00261D78">
              <w:rPr>
                <w:b/>
                <w:bCs/>
                <w:iCs/>
                <w:sz w:val="20"/>
                <w:szCs w:val="20"/>
              </w:rPr>
              <w:t>multisectoral accountability framework for TB (MAF-TB)</w:t>
            </w:r>
            <w:r>
              <w:rPr>
                <w:b/>
                <w:bCs/>
                <w:iCs/>
                <w:sz w:val="20"/>
                <w:szCs w:val="20"/>
              </w:rPr>
              <w:t>.</w:t>
            </w:r>
          </w:p>
          <w:p w14:paraId="383EEB96" w14:textId="77777777" w:rsidR="00C31DBE" w:rsidRPr="00427DAB" w:rsidRDefault="00C31DBE" w:rsidP="00C31DBE">
            <w:pPr>
              <w:pStyle w:val="ListParagraph"/>
              <w:tabs>
                <w:tab w:val="left" w:pos="338"/>
              </w:tabs>
              <w:spacing w:after="0"/>
              <w:ind w:left="0" w:right="-57"/>
              <w:rPr>
                <w:b/>
                <w:bCs/>
                <w:iCs/>
                <w:sz w:val="20"/>
                <w:szCs w:val="20"/>
              </w:rPr>
            </w:pPr>
          </w:p>
        </w:tc>
        <w:tc>
          <w:tcPr>
            <w:tcW w:w="3514" w:type="dxa"/>
          </w:tcPr>
          <w:p w14:paraId="60E0BD5F" w14:textId="3DBFBDCD" w:rsidR="00C31DBE" w:rsidRPr="00C31DBE" w:rsidRDefault="00C31DBE" w:rsidP="00C31DBE">
            <w:pPr>
              <w:spacing w:after="0"/>
              <w:jc w:val="right"/>
              <w:rPr>
                <w:b/>
                <w:bCs/>
              </w:rPr>
            </w:pPr>
            <w:r w:rsidRPr="00C31DBE">
              <w:rPr>
                <w:b/>
                <w:bCs/>
              </w:rPr>
              <w:t>$2,995,802</w:t>
            </w:r>
          </w:p>
        </w:tc>
      </w:tr>
      <w:tr w:rsidR="00C31DBE" w:rsidRPr="00205DFE" w14:paraId="2F38B2F3" w14:textId="77777777" w:rsidTr="00994D19">
        <w:trPr>
          <w:trHeight w:val="373"/>
          <w:jc w:val="center"/>
        </w:trPr>
        <w:tc>
          <w:tcPr>
            <w:tcW w:w="2542" w:type="dxa"/>
          </w:tcPr>
          <w:p w14:paraId="74A207E5" w14:textId="7FE12654" w:rsidR="00C31DBE" w:rsidRDefault="00C31DBE" w:rsidP="00C31DBE">
            <w:pPr>
              <w:pStyle w:val="ListParagraph"/>
              <w:tabs>
                <w:tab w:val="left" w:pos="63"/>
              </w:tabs>
              <w:spacing w:after="0"/>
              <w:ind w:left="63" w:right="-54"/>
              <w:contextualSpacing w:val="0"/>
            </w:pPr>
            <w:r w:rsidRPr="0051050B">
              <w:t xml:space="preserve">Sustained push for multi-sectorial collaboration and coordination mechanism, securing high level policy support </w:t>
            </w:r>
          </w:p>
        </w:tc>
        <w:tc>
          <w:tcPr>
            <w:tcW w:w="4683" w:type="dxa"/>
          </w:tcPr>
          <w:p w14:paraId="7B8861F1" w14:textId="77777777" w:rsidR="00C31DBE" w:rsidRPr="00427DAB" w:rsidRDefault="00C31DBE" w:rsidP="00C31DBE">
            <w:pPr>
              <w:tabs>
                <w:tab w:val="left" w:pos="338"/>
              </w:tabs>
              <w:spacing w:after="0"/>
              <w:ind w:right="-54"/>
              <w:rPr>
                <w:b/>
                <w:bCs/>
                <w:iCs/>
                <w:sz w:val="20"/>
                <w:szCs w:val="20"/>
              </w:rPr>
            </w:pPr>
            <w:r w:rsidRPr="00427DAB">
              <w:rPr>
                <w:b/>
                <w:bCs/>
                <w:iCs/>
                <w:sz w:val="20"/>
                <w:szCs w:val="20"/>
              </w:rPr>
              <w:t xml:space="preserve">The 4th Health, Population and Nutrition Sector </w:t>
            </w:r>
            <w:proofErr w:type="spellStart"/>
            <w:r w:rsidRPr="00427DAB">
              <w:rPr>
                <w:b/>
                <w:bCs/>
                <w:iCs/>
                <w:sz w:val="20"/>
                <w:szCs w:val="20"/>
              </w:rPr>
              <w:t>Programme</w:t>
            </w:r>
            <w:proofErr w:type="spellEnd"/>
            <w:r w:rsidRPr="00427DAB">
              <w:rPr>
                <w:b/>
                <w:bCs/>
                <w:iCs/>
                <w:sz w:val="20"/>
                <w:szCs w:val="20"/>
              </w:rPr>
              <w:t xml:space="preserve"> (2017-2022), provides a coherent vision for the Health Sector and clearly describes the needs. It includes a well thought out essential service package and has defined impact goals. Tuberculosis is included among the 29 operational </w:t>
            </w:r>
            <w:proofErr w:type="spellStart"/>
            <w:r w:rsidRPr="00427DAB">
              <w:rPr>
                <w:b/>
                <w:bCs/>
                <w:iCs/>
                <w:sz w:val="20"/>
                <w:szCs w:val="20"/>
              </w:rPr>
              <w:t>programmes</w:t>
            </w:r>
            <w:proofErr w:type="spellEnd"/>
            <w:r w:rsidRPr="00427DAB">
              <w:rPr>
                <w:b/>
                <w:bCs/>
                <w:iCs/>
                <w:sz w:val="20"/>
                <w:szCs w:val="20"/>
              </w:rPr>
              <w:t xml:space="preserve"> in the 4th HPNSP. </w:t>
            </w:r>
          </w:p>
          <w:p w14:paraId="0715D85A" w14:textId="3A225D74" w:rsidR="00C31DBE" w:rsidRPr="00427DAB" w:rsidRDefault="00C31DBE" w:rsidP="00C31DBE">
            <w:pPr>
              <w:pStyle w:val="ListParagraph"/>
              <w:tabs>
                <w:tab w:val="left" w:pos="338"/>
              </w:tabs>
              <w:spacing w:after="0"/>
              <w:ind w:left="0" w:right="-57"/>
              <w:rPr>
                <w:b/>
                <w:bCs/>
                <w:iCs/>
                <w:sz w:val="20"/>
                <w:szCs w:val="20"/>
              </w:rPr>
            </w:pPr>
            <w:r w:rsidRPr="00427DAB">
              <w:rPr>
                <w:b/>
                <w:bCs/>
                <w:iCs/>
                <w:sz w:val="20"/>
                <w:szCs w:val="20"/>
              </w:rPr>
              <w:t>Government of Bangladesh is such committed to achieve the global commitment and in light with this NSP 2021-2025 prioritizing focus for establishing a  multisectoral  accountability framework for TB by engaging high level ministry , WHO and other development partners and affected community. This will be a customized framework for Bangladesh in collaboration with WHO.</w:t>
            </w:r>
          </w:p>
        </w:tc>
        <w:tc>
          <w:tcPr>
            <w:tcW w:w="3514" w:type="dxa"/>
          </w:tcPr>
          <w:p w14:paraId="6C19A76B" w14:textId="5367EB34" w:rsidR="00C31DBE" w:rsidRPr="00C31DBE" w:rsidRDefault="00C31DBE" w:rsidP="00C31DBE">
            <w:pPr>
              <w:spacing w:after="0"/>
              <w:jc w:val="right"/>
              <w:rPr>
                <w:b/>
                <w:bCs/>
              </w:rPr>
            </w:pPr>
            <w:r w:rsidRPr="00C31DBE">
              <w:rPr>
                <w:b/>
                <w:bCs/>
                <w:iCs/>
                <w:sz w:val="20"/>
                <w:szCs w:val="20"/>
              </w:rPr>
              <w:t>$374.245</w:t>
            </w:r>
          </w:p>
        </w:tc>
      </w:tr>
      <w:tr w:rsidR="00FC3460" w:rsidRPr="00205DFE" w14:paraId="02D10E86" w14:textId="77777777" w:rsidTr="000C6E20">
        <w:trPr>
          <w:trHeight w:val="350"/>
          <w:jc w:val="center"/>
        </w:trPr>
        <w:tc>
          <w:tcPr>
            <w:tcW w:w="2542" w:type="dxa"/>
            <w:vAlign w:val="center"/>
          </w:tcPr>
          <w:p w14:paraId="246B27E1" w14:textId="77777777" w:rsidR="00FC3460" w:rsidRPr="005E57A8" w:rsidRDefault="00FC3460" w:rsidP="00FC3460">
            <w:pPr>
              <w:pStyle w:val="ListParagraph"/>
              <w:tabs>
                <w:tab w:val="left" w:pos="63"/>
              </w:tabs>
              <w:spacing w:after="0"/>
              <w:ind w:left="63"/>
              <w:contextualSpacing w:val="0"/>
              <w:rPr>
                <w:bCs/>
                <w:i/>
                <w:iCs/>
                <w:sz w:val="20"/>
                <w:szCs w:val="20"/>
              </w:rPr>
            </w:pPr>
            <w:r w:rsidRPr="005E57A8">
              <w:rPr>
                <w:bCs/>
                <w:i/>
                <w:iCs/>
                <w:sz w:val="20"/>
                <w:szCs w:val="20"/>
              </w:rPr>
              <w:t>Add rows as relevant</w:t>
            </w:r>
          </w:p>
        </w:tc>
        <w:tc>
          <w:tcPr>
            <w:tcW w:w="4683" w:type="dxa"/>
          </w:tcPr>
          <w:p w14:paraId="3DE5A9C5" w14:textId="77777777" w:rsidR="00FC3460" w:rsidRPr="00205DFE" w:rsidRDefault="00FC3460" w:rsidP="00FC3460">
            <w:pPr>
              <w:pStyle w:val="ListParagraph"/>
              <w:tabs>
                <w:tab w:val="left" w:pos="338"/>
              </w:tabs>
              <w:spacing w:after="0"/>
              <w:ind w:left="0" w:right="-54"/>
              <w:contextualSpacing w:val="0"/>
              <w:rPr>
                <w:b/>
                <w:bCs/>
                <w:iCs/>
                <w:sz w:val="20"/>
                <w:szCs w:val="20"/>
              </w:rPr>
            </w:pPr>
          </w:p>
        </w:tc>
        <w:tc>
          <w:tcPr>
            <w:tcW w:w="3514" w:type="dxa"/>
          </w:tcPr>
          <w:p w14:paraId="2EAECBE6" w14:textId="7DE19A42" w:rsidR="00FC3460" w:rsidRPr="00205DFE" w:rsidRDefault="00FC3460" w:rsidP="00FC3460">
            <w:pPr>
              <w:spacing w:after="0"/>
              <w:ind w:right="-54"/>
              <w:jc w:val="right"/>
              <w:rPr>
                <w:b/>
                <w:bCs/>
                <w:iCs/>
                <w:sz w:val="20"/>
                <w:szCs w:val="20"/>
              </w:rPr>
            </w:pPr>
          </w:p>
        </w:tc>
      </w:tr>
    </w:tbl>
    <w:p w14:paraId="1F3D48AC" w14:textId="2926E799" w:rsidR="008E6331" w:rsidRDefault="008E6331" w:rsidP="0057108F">
      <w:pPr>
        <w:spacing w:after="0"/>
      </w:pPr>
    </w:p>
    <w:p w14:paraId="548FA5E9" w14:textId="77777777" w:rsidR="008E6331" w:rsidRDefault="008E6331" w:rsidP="0057108F">
      <w:pPr>
        <w:spacing w:after="0"/>
      </w:pPr>
    </w:p>
    <w:p w14:paraId="63F748AD" w14:textId="20ABEF37" w:rsidR="0057108F" w:rsidRDefault="0057108F" w:rsidP="0057108F">
      <w:pPr>
        <w:spacing w:after="0"/>
      </w:pPr>
    </w:p>
    <w:p w14:paraId="7F04C6B3" w14:textId="77777777" w:rsidR="0057108F" w:rsidRDefault="0057108F" w:rsidP="0057108F">
      <w:pPr>
        <w:spacing w:after="0"/>
      </w:pPr>
    </w:p>
    <w:p w14:paraId="5C5F2E3A" w14:textId="15026B36" w:rsidR="00291580" w:rsidRPr="006860DF" w:rsidRDefault="000663BB" w:rsidP="0057108F">
      <w:pPr>
        <w:spacing w:after="0"/>
        <w:rPr>
          <w:sz w:val="18"/>
          <w:szCs w:val="18"/>
        </w:rPr>
      </w:pPr>
      <w:r w:rsidRPr="006860DF">
        <w:rPr>
          <w:rStyle w:val="normaltextrun"/>
          <w:rFonts w:cs="Arial"/>
          <w:i/>
          <w:iCs/>
          <w:color w:val="000000"/>
          <w:sz w:val="18"/>
          <w:szCs w:val="18"/>
          <w:shd w:val="clear" w:color="auto" w:fill="FFFFFF"/>
        </w:rPr>
        <w:t>(Add additional tables as relevant)</w:t>
      </w: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994"/>
        <w:gridCol w:w="2745"/>
      </w:tblGrid>
      <w:tr w:rsidR="00482AF1" w:rsidRPr="00205DFE" w14:paraId="54C096F2" w14:textId="77777777" w:rsidTr="00292D16">
        <w:trPr>
          <w:trHeight w:val="419"/>
          <w:jc w:val="center"/>
        </w:trPr>
        <w:tc>
          <w:tcPr>
            <w:tcW w:w="7994" w:type="dxa"/>
            <w:shd w:val="clear" w:color="auto" w:fill="F2F2F2" w:themeFill="background1" w:themeFillShade="F2"/>
            <w:vAlign w:val="center"/>
          </w:tcPr>
          <w:p w14:paraId="223B077E" w14:textId="77777777" w:rsidR="00482AF1" w:rsidRPr="005E57A8" w:rsidRDefault="00482AF1" w:rsidP="0057108F">
            <w:pPr>
              <w:pStyle w:val="ListParagraph"/>
              <w:tabs>
                <w:tab w:val="left" w:pos="338"/>
              </w:tabs>
              <w:spacing w:after="0"/>
              <w:ind w:left="0"/>
              <w:contextualSpacing w:val="0"/>
              <w:rPr>
                <w:b/>
                <w:bCs/>
                <w:iCs/>
                <w:sz w:val="20"/>
                <w:szCs w:val="20"/>
              </w:rPr>
            </w:pPr>
            <w:r w:rsidRPr="005E57A8">
              <w:rPr>
                <w:b/>
                <w:bCs/>
                <w:iCs/>
                <w:sz w:val="20"/>
                <w:szCs w:val="20"/>
              </w:rPr>
              <w:t>TOTAL AMOUNT requested from the Global Fund</w:t>
            </w:r>
          </w:p>
        </w:tc>
        <w:tc>
          <w:tcPr>
            <w:tcW w:w="2745" w:type="dxa"/>
            <w:vAlign w:val="center"/>
          </w:tcPr>
          <w:p w14:paraId="4D9B2AAA" w14:textId="3B3D29B5" w:rsidR="00482AF1" w:rsidRPr="00205DFE" w:rsidRDefault="00D91AC6" w:rsidP="0057108F">
            <w:pPr>
              <w:spacing w:after="0"/>
              <w:jc w:val="right"/>
              <w:rPr>
                <w:bCs/>
                <w:iCs/>
                <w:sz w:val="20"/>
                <w:szCs w:val="20"/>
              </w:rPr>
            </w:pPr>
            <w:r w:rsidRPr="00D91AC6">
              <w:rPr>
                <w:bCs/>
                <w:iCs/>
                <w:sz w:val="20"/>
                <w:szCs w:val="20"/>
              </w:rPr>
              <w:t>$125.067.40</w:t>
            </w:r>
            <w:r>
              <w:rPr>
                <w:bCs/>
                <w:iCs/>
                <w:sz w:val="20"/>
                <w:szCs w:val="20"/>
              </w:rPr>
              <w:t>1</w:t>
            </w:r>
          </w:p>
        </w:tc>
      </w:tr>
    </w:tbl>
    <w:p w14:paraId="2CB8897B" w14:textId="77777777" w:rsidR="00433594" w:rsidRDefault="00433594" w:rsidP="0057108F">
      <w:pPr>
        <w:pStyle w:val="ListParagraph"/>
        <w:spacing w:after="0"/>
        <w:contextualSpacing w:val="0"/>
        <w:jc w:val="both"/>
        <w:rPr>
          <w:rFonts w:cs="Arial"/>
          <w:bCs/>
          <w:iCs/>
        </w:rPr>
      </w:pPr>
    </w:p>
    <w:p w14:paraId="3B2E0A4B" w14:textId="02A9BA5C" w:rsidR="00E60417" w:rsidRPr="009A672F" w:rsidRDefault="00E60417" w:rsidP="0057108F">
      <w:pPr>
        <w:spacing w:after="0"/>
        <w:rPr>
          <w:rFonts w:cs="Arial"/>
          <w:bCs/>
          <w:iCs/>
        </w:rPr>
      </w:pPr>
      <w:r w:rsidRPr="009A672F">
        <w:rPr>
          <w:rFonts w:cs="Arial"/>
          <w:bCs/>
          <w:iCs/>
        </w:rPr>
        <w:lastRenderedPageBreak/>
        <w:t>Explain the prioritization approach</w:t>
      </w:r>
      <w:r w:rsidR="00F705F5" w:rsidRPr="009A672F">
        <w:rPr>
          <w:rFonts w:cs="Arial"/>
          <w:bCs/>
          <w:iCs/>
        </w:rPr>
        <w:t xml:space="preserve"> </w:t>
      </w:r>
      <w:r w:rsidRPr="009A672F">
        <w:rPr>
          <w:rFonts w:cs="Arial"/>
          <w:bCs/>
          <w:iCs/>
        </w:rPr>
        <w:t>used to select inter</w:t>
      </w:r>
      <w:r w:rsidR="00433594" w:rsidRPr="009A672F">
        <w:rPr>
          <w:rFonts w:cs="Arial"/>
          <w:bCs/>
          <w:iCs/>
        </w:rPr>
        <w:t xml:space="preserve">ventions for Global Fund </w:t>
      </w:r>
      <w:r w:rsidR="000663BB" w:rsidRPr="009A672F">
        <w:rPr>
          <w:rFonts w:cs="Arial"/>
          <w:bCs/>
          <w:iCs/>
        </w:rPr>
        <w:t>funding</w:t>
      </w:r>
      <w:r w:rsidRPr="009A672F">
        <w:rPr>
          <w:rFonts w:cs="Arial"/>
          <w:bCs/>
          <w:iCs/>
        </w:rPr>
        <w:t xml:space="preserve">. </w:t>
      </w:r>
    </w:p>
    <w:p w14:paraId="704DB1F7" w14:textId="77777777" w:rsidR="00E60417" w:rsidRDefault="00E60417" w:rsidP="0057108F">
      <w:pPr>
        <w:spacing w:after="0"/>
        <w:rPr>
          <w:rFonts w:cs="Arial"/>
        </w:rPr>
      </w:pPr>
    </w:p>
    <w:tbl>
      <w:tblPr>
        <w:tblStyle w:val="TableGrid"/>
        <w:tblW w:w="0" w:type="auto"/>
        <w:tblLook w:val="04A0" w:firstRow="1" w:lastRow="0" w:firstColumn="1" w:lastColumn="0" w:noHBand="0" w:noVBand="1"/>
      </w:tblPr>
      <w:tblGrid>
        <w:gridCol w:w="10456"/>
      </w:tblGrid>
      <w:tr w:rsidR="00E60417" w14:paraId="4B99A171" w14:textId="77777777" w:rsidTr="007B4D94">
        <w:tc>
          <w:tcPr>
            <w:tcW w:w="10790" w:type="dxa"/>
          </w:tcPr>
          <w:p w14:paraId="6ED83865" w14:textId="77777777" w:rsidR="00E45A58" w:rsidRPr="00BD7BC1" w:rsidRDefault="00E45A58" w:rsidP="00E45A58">
            <w:pPr>
              <w:rPr>
                <w:rFonts w:cs="Arial"/>
              </w:rPr>
            </w:pPr>
            <w:r w:rsidRPr="00C71F41">
              <w:rPr>
                <w:rFonts w:cs="Arial"/>
              </w:rPr>
              <w:t>The funding request was prepared on the basis of the recently developed National Strategic Plan for TB Control (NSP)</w:t>
            </w:r>
            <w:r>
              <w:rPr>
                <w:rFonts w:cs="Arial"/>
              </w:rPr>
              <w:t xml:space="preserve"> 2021-2025</w:t>
            </w:r>
            <w:r w:rsidRPr="00C71F41">
              <w:rPr>
                <w:rFonts w:cs="Arial"/>
              </w:rPr>
              <w:t xml:space="preserve">. The NSP, in turn, was developed in line with WHO’s End TB Strategy. Building on the Strategy’s Three Pillars (I. INTEGRATED, PATIENT-CENTRED CARE AND PREVENTION; II. BOLD POLICIES AND SUPPORTIVE SYSTEMS; III. INTENSIFIED RESEARCH AND INNOVATION) and following the key principles of government stewardship and accountability, strong coalition with civil society organizations and communities, protection and promotion of human rights, ethics and equity, and adaptation of the strategy and targets at country level, the NSP describes key interventions and activities that will enable the NTP to achieve the End TB Strategy’s Milestones for 2025 (75% reduction in tuberculosis deaths and 50% reduction in tuberculosis incidence rate) and targets for 2035 (95% reduction in tuberculosis deaths and 90% reduction in tuberculosis incidence rate).The NSP also accounts for the </w:t>
            </w:r>
            <w:r>
              <w:rPr>
                <w:rFonts w:cs="Arial"/>
              </w:rPr>
              <w:t>UN High Level Meeting (UNHLM) targets</w:t>
            </w:r>
            <w:r w:rsidRPr="00C71F41">
              <w:rPr>
                <w:rFonts w:cs="Arial"/>
              </w:rPr>
              <w:t xml:space="preserve">. Of key importance for the development of the NSP as well as the preparation of the funding proposal was an assessment of the potential impact of alternative interventions, </w:t>
            </w:r>
            <w:r w:rsidRPr="00BD7BC1">
              <w:rPr>
                <w:rFonts w:cs="Arial"/>
              </w:rPr>
              <w:t>The potential impact of NSP interventions has been assessed using a recently developed dynamical model of TB transmission specifically addressing the situation in SEARO countries</w:t>
            </w:r>
            <w:r w:rsidRPr="00BD7BC1">
              <w:rPr>
                <w:rFonts w:cs="Arial"/>
                <w:vertAlign w:val="superscript"/>
              </w:rPr>
              <w:footnoteReference w:id="5"/>
            </w:r>
            <w:r w:rsidRPr="00BD7BC1">
              <w:rPr>
                <w:rFonts w:cs="Arial"/>
              </w:rPr>
              <w:t>. In high-level summary, the model explicitly captures the national TB programme (NTP) and non-NTP sectors, and the respective standard of TB care in these sectors. In doing so, the model also captures the implications of diagnostic delays and treatment outcomes, for overall transmission. For simplicity, the model does not distinguish age groups and is nationally aggregated. However, it incorporates HIV/TB co-infection, as well as ‘risk groups’ bearing a disproportionate TB burden, and the generation and transmission of drug-resistant TB (DR-TB).</w:t>
            </w:r>
            <w:r w:rsidRPr="00C71F41">
              <w:rPr>
                <w:rFonts w:cs="Arial"/>
                <w:lang w:val="en-US"/>
              </w:rPr>
              <w:t xml:space="preserve"> The modeling results showed that in order to achieve the End TB Strategy’s target of a 50% incidence reduction by 2025, it will be </w:t>
            </w:r>
            <w:r w:rsidRPr="00C71F41">
              <w:rPr>
                <w:rFonts w:cs="Arial"/>
                <w:b/>
                <w:lang w:val="en-US"/>
              </w:rPr>
              <w:t>crucial to increase the case detection ratio (CDR) to more than 90% by 2020.</w:t>
            </w:r>
          </w:p>
          <w:p w14:paraId="77F87CEA" w14:textId="77777777" w:rsidR="00E45A58" w:rsidRPr="00BD7BC1" w:rsidRDefault="00E45A58" w:rsidP="00E45A58">
            <w:pPr>
              <w:rPr>
                <w:rFonts w:cs="Arial"/>
              </w:rPr>
            </w:pPr>
            <w:bookmarkStart w:id="17" w:name="_Hlk25813272"/>
            <w:r w:rsidRPr="00BD7BC1">
              <w:rPr>
                <w:rFonts w:cs="Arial"/>
              </w:rPr>
              <w:t>The impact of the planned NSP activities on incidence is summarized in the graph below, showing that NSP activities would result in a decrease of incidence of &gt;50% by 2025.</w:t>
            </w:r>
          </w:p>
          <w:p w14:paraId="12DD1186" w14:textId="77777777" w:rsidR="00E45A58" w:rsidRPr="00BD7BC1" w:rsidRDefault="00E45A58" w:rsidP="00E45A58">
            <w:pPr>
              <w:rPr>
                <w:rFonts w:cs="Arial"/>
                <w:i/>
                <w:iCs/>
              </w:rPr>
            </w:pPr>
            <w:bookmarkStart w:id="18" w:name="_Toc31539092"/>
            <w:bookmarkEnd w:id="17"/>
            <w:r w:rsidRPr="00BD7BC1">
              <w:rPr>
                <w:rFonts w:cs="Arial"/>
                <w:i/>
                <w:iCs/>
              </w:rPr>
              <w:t>Expected impact of NSP activities on TB incidence, 2018-2025</w:t>
            </w:r>
            <w:bookmarkEnd w:id="18"/>
          </w:p>
          <w:p w14:paraId="45F6068A" w14:textId="77777777" w:rsidR="00E45A58" w:rsidRPr="00BD7BC1" w:rsidRDefault="00E45A58" w:rsidP="00E45A58">
            <w:pPr>
              <w:rPr>
                <w:rFonts w:cs="Arial"/>
              </w:rPr>
            </w:pPr>
            <w:r w:rsidRPr="00BD7BC1">
              <w:rPr>
                <w:rFonts w:cs="Arial"/>
                <w:noProof/>
              </w:rPr>
              <w:drawing>
                <wp:inline distT="0" distB="0" distL="0" distR="0" wp14:anchorId="209E9CFD" wp14:editId="7FF957D8">
                  <wp:extent cx="3917315" cy="2114776"/>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1961" cy="2133480"/>
                          </a:xfrm>
                          <a:prstGeom prst="rect">
                            <a:avLst/>
                          </a:prstGeom>
                          <a:noFill/>
                        </pic:spPr>
                      </pic:pic>
                    </a:graphicData>
                  </a:graphic>
                </wp:inline>
              </w:drawing>
            </w:r>
          </w:p>
          <w:p w14:paraId="35A600C1" w14:textId="77777777" w:rsidR="00E45A58" w:rsidRDefault="00E45A58" w:rsidP="00E45A58">
            <w:pPr>
              <w:rPr>
                <w:rFonts w:cs="Arial"/>
              </w:rPr>
            </w:pPr>
          </w:p>
          <w:p w14:paraId="5859C5AD" w14:textId="77777777" w:rsidR="00E45A58" w:rsidRDefault="00E45A58" w:rsidP="00E45A58">
            <w:pPr>
              <w:rPr>
                <w:rFonts w:cs="Arial"/>
              </w:rPr>
            </w:pPr>
          </w:p>
          <w:p w14:paraId="5AF23C92" w14:textId="77777777" w:rsidR="00E45A58" w:rsidRDefault="00E45A58" w:rsidP="00E45A58">
            <w:pPr>
              <w:rPr>
                <w:rFonts w:cs="Arial"/>
              </w:rPr>
            </w:pPr>
          </w:p>
          <w:p w14:paraId="24BC4B2F" w14:textId="77777777" w:rsidR="00E45A58" w:rsidRDefault="00E45A58" w:rsidP="00E45A58">
            <w:pPr>
              <w:rPr>
                <w:rFonts w:cs="Arial"/>
              </w:rPr>
            </w:pPr>
          </w:p>
          <w:p w14:paraId="3127CB58" w14:textId="77777777" w:rsidR="00E45A58" w:rsidRDefault="00E45A58" w:rsidP="00E45A58">
            <w:pPr>
              <w:rPr>
                <w:rFonts w:cs="Arial"/>
              </w:rPr>
            </w:pPr>
          </w:p>
          <w:p w14:paraId="0A65B334" w14:textId="669D0724" w:rsidR="00E45A58" w:rsidRDefault="00E45A58" w:rsidP="00E45A58">
            <w:pPr>
              <w:rPr>
                <w:rFonts w:cs="Arial"/>
              </w:rPr>
            </w:pPr>
            <w:r w:rsidRPr="00BD7BC1">
              <w:rPr>
                <w:rFonts w:cs="Arial"/>
              </w:rPr>
              <w:t>The impact of the planned NSP activities on mortality is summarized in the graph below, showing that NSP activities would result in a decrease of mortality of &gt;75% by 2025.</w:t>
            </w:r>
          </w:p>
          <w:p w14:paraId="05B85ACF" w14:textId="0C805819" w:rsidR="00E45A58" w:rsidRDefault="00E45A58" w:rsidP="00E45A58">
            <w:pPr>
              <w:rPr>
                <w:rFonts w:cs="Arial"/>
              </w:rPr>
            </w:pPr>
          </w:p>
          <w:p w14:paraId="32C06098" w14:textId="78665D6C" w:rsidR="00E45A58" w:rsidRDefault="00E45A58" w:rsidP="00E45A58">
            <w:pPr>
              <w:rPr>
                <w:rFonts w:cs="Arial"/>
              </w:rPr>
            </w:pPr>
          </w:p>
          <w:p w14:paraId="0A1AF25F" w14:textId="70830924" w:rsidR="00E45A58" w:rsidRDefault="00E45A58" w:rsidP="00E45A58">
            <w:pPr>
              <w:rPr>
                <w:rFonts w:cs="Arial"/>
              </w:rPr>
            </w:pPr>
          </w:p>
          <w:p w14:paraId="6E02ADA6" w14:textId="5F07C813" w:rsidR="00E45A58" w:rsidRDefault="00E45A58" w:rsidP="00E45A58">
            <w:pPr>
              <w:rPr>
                <w:rFonts w:cs="Arial"/>
              </w:rPr>
            </w:pPr>
          </w:p>
          <w:p w14:paraId="7A9887E9" w14:textId="77777777" w:rsidR="00E45A58" w:rsidRPr="00BD7BC1" w:rsidRDefault="00E45A58" w:rsidP="00E45A58">
            <w:pPr>
              <w:rPr>
                <w:rFonts w:cs="Arial"/>
                <w:i/>
                <w:iCs/>
              </w:rPr>
            </w:pPr>
            <w:bookmarkStart w:id="19" w:name="_Toc31539093"/>
            <w:r w:rsidRPr="00BD7BC1">
              <w:rPr>
                <w:rFonts w:cs="Arial"/>
                <w:i/>
                <w:iCs/>
              </w:rPr>
              <w:t>Expected impact of NSP activities on mortality, 2018-2025</w:t>
            </w:r>
            <w:bookmarkEnd w:id="19"/>
          </w:p>
          <w:p w14:paraId="48A2F46C" w14:textId="77777777" w:rsidR="00E45A58" w:rsidRPr="00BD7BC1" w:rsidRDefault="00E45A58" w:rsidP="00E45A58">
            <w:pPr>
              <w:rPr>
                <w:rFonts w:cs="Arial"/>
              </w:rPr>
            </w:pPr>
            <w:r w:rsidRPr="00BD7BC1">
              <w:rPr>
                <w:rFonts w:cs="Arial"/>
                <w:noProof/>
              </w:rPr>
              <w:lastRenderedPageBreak/>
              <w:drawing>
                <wp:inline distT="0" distB="0" distL="0" distR="0" wp14:anchorId="1BABF3AE" wp14:editId="2EB01794">
                  <wp:extent cx="3962400" cy="20112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6979" cy="2028751"/>
                          </a:xfrm>
                          <a:prstGeom prst="rect">
                            <a:avLst/>
                          </a:prstGeom>
                          <a:noFill/>
                        </pic:spPr>
                      </pic:pic>
                    </a:graphicData>
                  </a:graphic>
                </wp:inline>
              </w:drawing>
            </w:r>
          </w:p>
          <w:p w14:paraId="2E87B9F6" w14:textId="77777777" w:rsidR="00E45A58" w:rsidRPr="00C71F41" w:rsidRDefault="00E45A58" w:rsidP="00E45A58">
            <w:pPr>
              <w:rPr>
                <w:rFonts w:cs="Arial"/>
                <w:lang w:val="en-US"/>
              </w:rPr>
            </w:pPr>
            <w:r w:rsidRPr="00C71F41">
              <w:rPr>
                <w:rFonts w:cs="Arial"/>
                <w:lang w:val="en-US"/>
              </w:rPr>
              <w:t>.</w:t>
            </w:r>
          </w:p>
          <w:p w14:paraId="7DC8D19B" w14:textId="27F5ED55" w:rsidR="00E60417" w:rsidRDefault="00E45A58" w:rsidP="00E45A58">
            <w:pPr>
              <w:rPr>
                <w:rFonts w:cs="Arial"/>
              </w:rPr>
            </w:pPr>
            <w:r w:rsidRPr="00C71F41">
              <w:rPr>
                <w:rFonts w:cs="Arial"/>
                <w:lang w:val="en-US"/>
              </w:rPr>
              <w:t>The development of the NSP and consecutively the allocation funding proposal was guided by the principle of investing available resources in those interventions that will achieve maximum impact. Based on internationally accepted principles as formulated in WHO's TB policy documents, maximum impact for TB control is expected from interventions that either increase case detection (for both drug-sensitive and MDR-TB cases) or improve treatment outcomes for detected cases. Over the previous years, the NTP has been very successful in establishing treatment services that assure very high treatment success rates for detected cases, regularly exceeding  90% for smear-positive cases. The further improvement of treatment outcomes was therefore not of primary concern for the development of the funding proposal.</w:t>
            </w:r>
          </w:p>
          <w:p w14:paraId="1C1E25B7" w14:textId="77777777" w:rsidR="00E60417" w:rsidRDefault="00E60417" w:rsidP="0057108F">
            <w:pPr>
              <w:rPr>
                <w:rFonts w:cs="Arial"/>
              </w:rPr>
            </w:pPr>
          </w:p>
        </w:tc>
      </w:tr>
    </w:tbl>
    <w:p w14:paraId="2BC09925" w14:textId="77777777" w:rsidR="00433594" w:rsidRDefault="00433594" w:rsidP="0057108F">
      <w:pPr>
        <w:pStyle w:val="ListParagraph"/>
        <w:spacing w:after="0"/>
        <w:contextualSpacing w:val="0"/>
        <w:rPr>
          <w:rFonts w:eastAsia="Calibri" w:cs="Times New Roman"/>
          <w:bCs/>
          <w:iCs/>
        </w:rPr>
      </w:pPr>
      <w:bookmarkStart w:id="20" w:name="_Hlk11953144"/>
    </w:p>
    <w:p w14:paraId="6F3501DD" w14:textId="6C6A04DD" w:rsidR="00E60417" w:rsidRDefault="00346E26" w:rsidP="0057108F">
      <w:pPr>
        <w:spacing w:after="0"/>
        <w:rPr>
          <w:rFonts w:eastAsia="Calibri" w:cs="Times New Roman"/>
          <w:bCs/>
          <w:iCs/>
        </w:rPr>
      </w:pPr>
      <w:r w:rsidRPr="00412A61">
        <w:rPr>
          <w:rFonts w:eastAsia="Calibri" w:cs="Times New Roman"/>
          <w:b/>
          <w:bCs/>
          <w:iCs/>
        </w:rPr>
        <w:t>b)</w:t>
      </w:r>
      <w:r>
        <w:rPr>
          <w:rFonts w:eastAsia="Calibri" w:cs="Times New Roman"/>
          <w:bCs/>
          <w:iCs/>
        </w:rPr>
        <w:t xml:space="preserve"> </w:t>
      </w:r>
      <w:r w:rsidR="004249F4" w:rsidRPr="000C4F69">
        <w:rPr>
          <w:rFonts w:eastAsia="Calibri" w:cs="Times New Roman"/>
          <w:bCs/>
          <w:iCs/>
        </w:rPr>
        <w:t xml:space="preserve">If an aspect </w:t>
      </w:r>
      <w:r w:rsidR="00B20EC2" w:rsidRPr="000C4F69">
        <w:rPr>
          <w:rFonts w:eastAsia="Calibri" w:cs="Times New Roman"/>
          <w:bCs/>
          <w:iCs/>
        </w:rPr>
        <w:t xml:space="preserve">(or </w:t>
      </w:r>
      <w:r w:rsidR="00F503E2">
        <w:rPr>
          <w:rFonts w:eastAsia="Calibri" w:cs="Times New Roman"/>
          <w:bCs/>
          <w:iCs/>
        </w:rPr>
        <w:t xml:space="preserve">the </w:t>
      </w:r>
      <w:r w:rsidR="00B20EC2" w:rsidRPr="000C4F69">
        <w:rPr>
          <w:rFonts w:eastAsia="Calibri" w:cs="Times New Roman"/>
          <w:bCs/>
          <w:iCs/>
        </w:rPr>
        <w:t xml:space="preserve">entirety) </w:t>
      </w:r>
      <w:r w:rsidR="004249F4" w:rsidRPr="000C4F69">
        <w:rPr>
          <w:rFonts w:eastAsia="Calibri" w:cs="Times New Roman"/>
          <w:bCs/>
          <w:iCs/>
        </w:rPr>
        <w:t xml:space="preserve">of this funding </w:t>
      </w:r>
      <w:r w:rsidR="00B20EC2" w:rsidRPr="000C4F69">
        <w:rPr>
          <w:rFonts w:eastAsia="Calibri" w:cs="Times New Roman"/>
          <w:bCs/>
          <w:iCs/>
        </w:rPr>
        <w:t>request uses</w:t>
      </w:r>
      <w:r w:rsidR="00EC5320">
        <w:rPr>
          <w:rFonts w:eastAsia="Calibri" w:cs="Times New Roman"/>
          <w:bCs/>
          <w:iCs/>
        </w:rPr>
        <w:t xml:space="preserve"> the</w:t>
      </w:r>
      <w:r w:rsidR="000663BB" w:rsidRPr="000C4F69">
        <w:rPr>
          <w:rFonts w:eastAsia="Calibri" w:cs="Times New Roman"/>
          <w:bCs/>
          <w:iCs/>
        </w:rPr>
        <w:t xml:space="preserve"> </w:t>
      </w:r>
      <w:r w:rsidR="00E60417" w:rsidRPr="000C4F69">
        <w:rPr>
          <w:rFonts w:eastAsia="Calibri" w:cs="Times New Roman"/>
          <w:bCs/>
          <w:iCs/>
          <w:u w:val="single"/>
        </w:rPr>
        <w:t>Payment for Results</w:t>
      </w:r>
      <w:r w:rsidR="00F705F5" w:rsidRPr="000C4F69">
        <w:rPr>
          <w:rFonts w:eastAsia="Calibri" w:cs="Times New Roman"/>
          <w:bCs/>
          <w:iCs/>
        </w:rPr>
        <w:t xml:space="preserve"> </w:t>
      </w:r>
      <w:r w:rsidR="00F26815" w:rsidRPr="000C4F69">
        <w:rPr>
          <w:rFonts w:eastAsia="Calibri" w:cs="Times New Roman"/>
          <w:bCs/>
          <w:iCs/>
        </w:rPr>
        <w:t>modality</w:t>
      </w:r>
      <w:r w:rsidR="00F705F5" w:rsidRPr="000C4F69">
        <w:rPr>
          <w:rFonts w:eastAsia="Calibri" w:cs="Times New Roman"/>
          <w:bCs/>
          <w:iCs/>
        </w:rPr>
        <w:t>:</w:t>
      </w:r>
    </w:p>
    <w:p w14:paraId="441991E1" w14:textId="77777777" w:rsidR="00F26815" w:rsidRPr="00F705F5" w:rsidRDefault="00F26815" w:rsidP="0057108F">
      <w:pPr>
        <w:spacing w:after="0"/>
        <w:rPr>
          <w:rFonts w:eastAsia="Calibri" w:cs="Times New Roman"/>
          <w:bCs/>
          <w:iCs/>
        </w:rPr>
      </w:pPr>
    </w:p>
    <w:bookmarkEnd w:id="20"/>
    <w:p w14:paraId="02A1B5DF" w14:textId="30BC4B4B" w:rsidR="00E20858" w:rsidRPr="00346E26" w:rsidRDefault="00E20858" w:rsidP="0057108F">
      <w:pPr>
        <w:spacing w:after="0"/>
        <w:rPr>
          <w:rFonts w:eastAsia="Calibri" w:cs="Times New Roman"/>
          <w:bCs/>
          <w:iCs/>
        </w:rPr>
      </w:pPr>
      <w:r w:rsidRPr="00346E26">
        <w:rPr>
          <w:rFonts w:eastAsia="Calibri" w:cs="Times New Roman"/>
          <w:bCs/>
          <w:iCs/>
        </w:rPr>
        <w:t>U</w:t>
      </w:r>
      <w:r w:rsidR="002D354E" w:rsidRPr="00346E26">
        <w:rPr>
          <w:rFonts w:eastAsia="Calibri" w:cs="Times New Roman"/>
          <w:bCs/>
          <w:iCs/>
        </w:rPr>
        <w:t>se the table</w:t>
      </w:r>
      <w:r w:rsidR="005160ED" w:rsidRPr="00346E26">
        <w:rPr>
          <w:rFonts w:eastAsia="Calibri" w:cs="Times New Roman"/>
          <w:bCs/>
          <w:iCs/>
        </w:rPr>
        <w:t xml:space="preserve"> below</w:t>
      </w:r>
      <w:r w:rsidR="002D354E" w:rsidRPr="00346E26">
        <w:rPr>
          <w:rFonts w:eastAsia="Calibri" w:cs="Times New Roman"/>
          <w:bCs/>
          <w:iCs/>
        </w:rPr>
        <w:t xml:space="preserve"> to </w:t>
      </w:r>
      <w:r w:rsidR="00433594" w:rsidRPr="00346E26">
        <w:rPr>
          <w:rFonts w:eastAsia="Calibri" w:cs="Times New Roman"/>
          <w:bCs/>
          <w:iCs/>
        </w:rPr>
        <w:t xml:space="preserve">list and </w:t>
      </w:r>
      <w:r w:rsidR="002D354E" w:rsidRPr="00346E26">
        <w:rPr>
          <w:rFonts w:eastAsia="Calibri" w:cs="Times New Roman"/>
          <w:bCs/>
          <w:iCs/>
        </w:rPr>
        <w:t xml:space="preserve">provide </w:t>
      </w:r>
      <w:r w:rsidR="000663BB" w:rsidRPr="00346E26">
        <w:rPr>
          <w:rFonts w:eastAsia="Calibri" w:cs="Times New Roman"/>
          <w:bCs/>
          <w:iCs/>
        </w:rPr>
        <w:t xml:space="preserve">the </w:t>
      </w:r>
      <w:r w:rsidR="002D354E" w:rsidRPr="00346E26">
        <w:rPr>
          <w:rFonts w:eastAsia="Calibri" w:cs="Times New Roman"/>
          <w:bCs/>
          <w:iCs/>
        </w:rPr>
        <w:t xml:space="preserve">rationale for </w:t>
      </w:r>
      <w:r w:rsidR="00A07B67" w:rsidRPr="00346E26">
        <w:rPr>
          <w:rFonts w:eastAsia="Calibri" w:cs="Times New Roman"/>
          <w:bCs/>
          <w:iCs/>
        </w:rPr>
        <w:t xml:space="preserve">selection of </w:t>
      </w:r>
      <w:r w:rsidR="002D354E" w:rsidRPr="00346E26">
        <w:rPr>
          <w:rFonts w:eastAsia="Calibri" w:cs="Times New Roman"/>
          <w:bCs/>
          <w:iCs/>
        </w:rPr>
        <w:t xml:space="preserve">the </w:t>
      </w:r>
      <w:r w:rsidR="002D354E" w:rsidRPr="00346E26">
        <w:rPr>
          <w:rFonts w:eastAsia="Calibri" w:cs="Times New Roman"/>
          <w:b/>
          <w:bCs/>
          <w:iCs/>
          <w:u w:val="single"/>
        </w:rPr>
        <w:t>proposed performance indicators</w:t>
      </w:r>
      <w:r w:rsidRPr="00346E26">
        <w:rPr>
          <w:rFonts w:eastAsia="Calibri" w:cs="Times New Roman"/>
          <w:b/>
          <w:bCs/>
          <w:iCs/>
          <w:u w:val="single"/>
        </w:rPr>
        <w:t xml:space="preserve"> or milestone</w:t>
      </w:r>
      <w:r w:rsidR="004E06B7" w:rsidRPr="00346E26">
        <w:rPr>
          <w:rFonts w:eastAsia="Calibri" w:cs="Times New Roman"/>
          <w:b/>
          <w:bCs/>
          <w:iCs/>
          <w:u w:val="single"/>
        </w:rPr>
        <w:t>s</w:t>
      </w:r>
      <w:r w:rsidR="00FD6341" w:rsidRPr="00346E26">
        <w:rPr>
          <w:rFonts w:eastAsia="Calibri" w:cs="Times New Roman"/>
          <w:bCs/>
          <w:iCs/>
        </w:rPr>
        <w:t xml:space="preserve"> for Global Fund </w:t>
      </w:r>
      <w:r w:rsidR="000663BB" w:rsidRPr="00346E26">
        <w:rPr>
          <w:rFonts w:eastAsia="Calibri" w:cs="Times New Roman"/>
          <w:bCs/>
          <w:iCs/>
        </w:rPr>
        <w:t>funding</w:t>
      </w:r>
      <w:r w:rsidR="00FD6341" w:rsidRPr="00346E26">
        <w:rPr>
          <w:rFonts w:eastAsia="Calibri" w:cs="Times New Roman"/>
          <w:bCs/>
          <w:iCs/>
        </w:rPr>
        <w:t xml:space="preserve">. </w:t>
      </w:r>
    </w:p>
    <w:p w14:paraId="691F944B" w14:textId="6FE2C0B4" w:rsidR="00433594" w:rsidRPr="00F26815" w:rsidRDefault="000B6C8E" w:rsidP="0057108F">
      <w:pPr>
        <w:spacing w:after="0"/>
        <w:rPr>
          <w:rFonts w:eastAsia="Calibri"/>
        </w:rPr>
      </w:pPr>
      <w:r w:rsidRPr="00170A77">
        <w:rPr>
          <w:rFonts w:eastAsia="Calibri"/>
        </w:rPr>
        <w:t xml:space="preserve">  </w:t>
      </w:r>
      <w:bookmarkStart w:id="21" w:name="_Hlk8921192"/>
      <w:bookmarkStart w:id="22" w:name="_Hlk11328334"/>
      <w:bookmarkStart w:id="23" w:name="_Hlk11328321"/>
      <w:bookmarkEnd w:id="21"/>
    </w:p>
    <w:tbl>
      <w:tblPr>
        <w:tblW w:w="1073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34"/>
        <w:gridCol w:w="1039"/>
        <w:gridCol w:w="517"/>
        <w:gridCol w:w="524"/>
        <w:gridCol w:w="665"/>
        <w:gridCol w:w="560"/>
        <w:gridCol w:w="5400"/>
      </w:tblGrid>
      <w:tr w:rsidR="002D354E" w:rsidRPr="00205DFE" w14:paraId="5E58AD75" w14:textId="77777777" w:rsidTr="00E20858">
        <w:trPr>
          <w:trHeight w:val="323"/>
        </w:trPr>
        <w:tc>
          <w:tcPr>
            <w:tcW w:w="2034" w:type="dxa"/>
            <w:vMerge w:val="restart"/>
            <w:shd w:val="clear" w:color="auto" w:fill="F9FBFD" w:themeFill="text2" w:themeFillTint="33"/>
            <w:vAlign w:val="center"/>
          </w:tcPr>
          <w:bookmarkEnd w:id="22"/>
          <w:bookmarkEnd w:id="23"/>
          <w:p w14:paraId="10CADA78" w14:textId="739166D4" w:rsidR="002D354E" w:rsidRPr="00205DFE" w:rsidRDefault="002D354E" w:rsidP="0057108F">
            <w:pPr>
              <w:spacing w:after="0"/>
              <w:jc w:val="center"/>
              <w:rPr>
                <w:sz w:val="20"/>
                <w:szCs w:val="20"/>
              </w:rPr>
            </w:pPr>
            <w:r w:rsidRPr="002D354E">
              <w:rPr>
                <w:rFonts w:cs="Arial"/>
                <w:bCs/>
                <w:iCs/>
              </w:rPr>
              <w:t xml:space="preserve"> </w:t>
            </w:r>
            <w:r>
              <w:rPr>
                <w:sz w:val="20"/>
                <w:szCs w:val="20"/>
              </w:rPr>
              <w:t>Performance indica</w:t>
            </w:r>
            <w:r w:rsidR="009A672F">
              <w:rPr>
                <w:sz w:val="20"/>
                <w:szCs w:val="20"/>
              </w:rPr>
              <w:t>t</w:t>
            </w:r>
            <w:r>
              <w:rPr>
                <w:sz w:val="20"/>
                <w:szCs w:val="20"/>
              </w:rPr>
              <w:t>or or milestone</w:t>
            </w:r>
          </w:p>
        </w:tc>
        <w:tc>
          <w:tcPr>
            <w:tcW w:w="2745" w:type="dxa"/>
            <w:gridSpan w:val="4"/>
            <w:shd w:val="clear" w:color="auto" w:fill="F9FBFD" w:themeFill="text2" w:themeFillTint="33"/>
            <w:vAlign w:val="center"/>
          </w:tcPr>
          <w:p w14:paraId="512BF8C0" w14:textId="77777777" w:rsidR="002D354E" w:rsidRPr="00205DFE" w:rsidRDefault="002D354E" w:rsidP="0057108F">
            <w:pPr>
              <w:spacing w:after="0"/>
              <w:jc w:val="center"/>
              <w:rPr>
                <w:iCs/>
                <w:sz w:val="20"/>
                <w:szCs w:val="20"/>
              </w:rPr>
            </w:pPr>
            <w:r w:rsidRPr="000A6CDC">
              <w:rPr>
                <w:iCs/>
                <w:sz w:val="20"/>
                <w:szCs w:val="20"/>
              </w:rPr>
              <w:t xml:space="preserve">Target </w:t>
            </w:r>
          </w:p>
        </w:tc>
        <w:tc>
          <w:tcPr>
            <w:tcW w:w="5960" w:type="dxa"/>
            <w:gridSpan w:val="2"/>
            <w:vMerge w:val="restart"/>
            <w:shd w:val="clear" w:color="auto" w:fill="F9FBFD" w:themeFill="text2" w:themeFillTint="33"/>
          </w:tcPr>
          <w:p w14:paraId="5F3DBBC0" w14:textId="6CFCBE47" w:rsidR="002D354E" w:rsidRPr="00205DFE" w:rsidRDefault="002D354E" w:rsidP="0057108F">
            <w:pPr>
              <w:spacing w:after="0"/>
              <w:jc w:val="center"/>
              <w:rPr>
                <w:iCs/>
                <w:sz w:val="20"/>
                <w:szCs w:val="20"/>
              </w:rPr>
            </w:pPr>
            <w:r>
              <w:rPr>
                <w:iCs/>
                <w:sz w:val="20"/>
                <w:szCs w:val="20"/>
              </w:rPr>
              <w:t xml:space="preserve">Rationale for </w:t>
            </w:r>
            <w:r w:rsidR="00A07B67">
              <w:rPr>
                <w:iCs/>
                <w:sz w:val="20"/>
                <w:szCs w:val="20"/>
              </w:rPr>
              <w:t xml:space="preserve">selection </w:t>
            </w:r>
            <w:r w:rsidR="00A07B67">
              <w:rPr>
                <w:iCs/>
                <w:sz w:val="20"/>
                <w:szCs w:val="20"/>
              </w:rPr>
              <w:br/>
              <w:t xml:space="preserve">of </w:t>
            </w:r>
            <w:r>
              <w:rPr>
                <w:iCs/>
                <w:sz w:val="20"/>
                <w:szCs w:val="20"/>
              </w:rPr>
              <w:t xml:space="preserve">the indicator/milestone </w:t>
            </w:r>
            <w:r w:rsidR="004E06B7">
              <w:rPr>
                <w:iCs/>
                <w:sz w:val="20"/>
                <w:szCs w:val="20"/>
              </w:rPr>
              <w:br/>
            </w:r>
          </w:p>
        </w:tc>
      </w:tr>
      <w:tr w:rsidR="002D354E" w:rsidRPr="00205DFE" w14:paraId="32EEC51D" w14:textId="77777777" w:rsidTr="00E20858">
        <w:trPr>
          <w:trHeight w:val="322"/>
        </w:trPr>
        <w:tc>
          <w:tcPr>
            <w:tcW w:w="2034" w:type="dxa"/>
            <w:vMerge/>
            <w:shd w:val="clear" w:color="auto" w:fill="F9FBFD" w:themeFill="text2" w:themeFillTint="33"/>
            <w:vAlign w:val="center"/>
          </w:tcPr>
          <w:p w14:paraId="0B035340" w14:textId="77777777" w:rsidR="002D354E" w:rsidRDefault="002D354E" w:rsidP="0057108F">
            <w:pPr>
              <w:spacing w:after="0"/>
              <w:jc w:val="center"/>
              <w:rPr>
                <w:sz w:val="20"/>
                <w:szCs w:val="20"/>
              </w:rPr>
            </w:pPr>
          </w:p>
        </w:tc>
        <w:tc>
          <w:tcPr>
            <w:tcW w:w="1039" w:type="dxa"/>
            <w:shd w:val="clear" w:color="auto" w:fill="F9FBFD" w:themeFill="text2" w:themeFillTint="33"/>
            <w:vAlign w:val="center"/>
          </w:tcPr>
          <w:p w14:paraId="199D6763" w14:textId="77777777" w:rsidR="002D354E" w:rsidRPr="008B2F83" w:rsidRDefault="002D354E" w:rsidP="0057108F">
            <w:pPr>
              <w:spacing w:after="0"/>
              <w:jc w:val="center"/>
              <w:rPr>
                <w:iCs/>
                <w:sz w:val="16"/>
                <w:szCs w:val="16"/>
              </w:rPr>
            </w:pPr>
            <w:r>
              <w:rPr>
                <w:iCs/>
                <w:sz w:val="20"/>
                <w:szCs w:val="20"/>
              </w:rPr>
              <w:t>Baseline</w:t>
            </w:r>
          </w:p>
        </w:tc>
        <w:tc>
          <w:tcPr>
            <w:tcW w:w="517" w:type="dxa"/>
            <w:shd w:val="clear" w:color="auto" w:fill="F9FBFD" w:themeFill="text2" w:themeFillTint="33"/>
            <w:vAlign w:val="center"/>
          </w:tcPr>
          <w:p w14:paraId="46941017" w14:textId="77777777" w:rsidR="002D354E" w:rsidRPr="008B2F83" w:rsidRDefault="002D354E" w:rsidP="0057108F">
            <w:pPr>
              <w:spacing w:after="0"/>
              <w:jc w:val="center"/>
              <w:rPr>
                <w:iCs/>
                <w:sz w:val="16"/>
                <w:szCs w:val="16"/>
              </w:rPr>
            </w:pPr>
            <w:r>
              <w:rPr>
                <w:iCs/>
                <w:sz w:val="20"/>
                <w:szCs w:val="20"/>
              </w:rPr>
              <w:t>Y1</w:t>
            </w:r>
          </w:p>
        </w:tc>
        <w:tc>
          <w:tcPr>
            <w:tcW w:w="524" w:type="dxa"/>
            <w:shd w:val="clear" w:color="auto" w:fill="F9FBFD" w:themeFill="text2" w:themeFillTint="33"/>
            <w:vAlign w:val="center"/>
          </w:tcPr>
          <w:p w14:paraId="393A1501" w14:textId="77777777" w:rsidR="002D354E" w:rsidRPr="000A6CDC" w:rsidRDefault="002D354E" w:rsidP="0057108F">
            <w:pPr>
              <w:spacing w:after="0"/>
              <w:jc w:val="center"/>
              <w:rPr>
                <w:iCs/>
                <w:sz w:val="20"/>
                <w:szCs w:val="20"/>
              </w:rPr>
            </w:pPr>
            <w:r>
              <w:rPr>
                <w:iCs/>
                <w:sz w:val="20"/>
                <w:szCs w:val="20"/>
              </w:rPr>
              <w:t>Y2</w:t>
            </w:r>
          </w:p>
        </w:tc>
        <w:tc>
          <w:tcPr>
            <w:tcW w:w="665" w:type="dxa"/>
            <w:shd w:val="clear" w:color="auto" w:fill="F9FBFD" w:themeFill="text2" w:themeFillTint="33"/>
            <w:vAlign w:val="center"/>
          </w:tcPr>
          <w:p w14:paraId="04448841" w14:textId="77777777" w:rsidR="002D354E" w:rsidRPr="000A6CDC" w:rsidRDefault="002D354E" w:rsidP="0057108F">
            <w:pPr>
              <w:spacing w:after="0"/>
              <w:jc w:val="center"/>
              <w:rPr>
                <w:iCs/>
                <w:sz w:val="20"/>
                <w:szCs w:val="20"/>
              </w:rPr>
            </w:pPr>
            <w:r>
              <w:rPr>
                <w:iCs/>
                <w:sz w:val="20"/>
                <w:szCs w:val="20"/>
              </w:rPr>
              <w:t>Y3</w:t>
            </w:r>
          </w:p>
        </w:tc>
        <w:tc>
          <w:tcPr>
            <w:tcW w:w="5960" w:type="dxa"/>
            <w:gridSpan w:val="2"/>
            <w:vMerge/>
            <w:shd w:val="clear" w:color="auto" w:fill="F9FBFD" w:themeFill="text2" w:themeFillTint="33"/>
          </w:tcPr>
          <w:p w14:paraId="542BE4A1" w14:textId="77777777" w:rsidR="002D354E" w:rsidRPr="00205DFE" w:rsidRDefault="002D354E" w:rsidP="0057108F">
            <w:pPr>
              <w:spacing w:after="0"/>
              <w:jc w:val="center"/>
              <w:rPr>
                <w:iCs/>
                <w:sz w:val="20"/>
                <w:szCs w:val="20"/>
              </w:rPr>
            </w:pPr>
          </w:p>
        </w:tc>
      </w:tr>
      <w:tr w:rsidR="002D354E" w:rsidRPr="00205DFE" w14:paraId="46ADD0A0" w14:textId="77777777" w:rsidTr="005E57A8">
        <w:trPr>
          <w:trHeight w:val="404"/>
        </w:trPr>
        <w:tc>
          <w:tcPr>
            <w:tcW w:w="2034" w:type="dxa"/>
            <w:vAlign w:val="center"/>
          </w:tcPr>
          <w:p w14:paraId="0D0CAE19" w14:textId="77777777" w:rsidR="002D354E" w:rsidRPr="00205DFE" w:rsidRDefault="002D354E" w:rsidP="0057108F">
            <w:pPr>
              <w:pStyle w:val="ListParagraph"/>
              <w:tabs>
                <w:tab w:val="left" w:pos="63"/>
              </w:tabs>
              <w:spacing w:after="0"/>
              <w:ind w:left="63" w:right="-54"/>
              <w:contextualSpacing w:val="0"/>
              <w:rPr>
                <w:b/>
                <w:bCs/>
                <w:iCs/>
                <w:sz w:val="20"/>
                <w:szCs w:val="20"/>
              </w:rPr>
            </w:pPr>
          </w:p>
        </w:tc>
        <w:tc>
          <w:tcPr>
            <w:tcW w:w="1039" w:type="dxa"/>
            <w:shd w:val="clear" w:color="auto" w:fill="FFFFFF" w:themeFill="background1"/>
          </w:tcPr>
          <w:p w14:paraId="3A7FB047"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17" w:type="dxa"/>
            <w:shd w:val="clear" w:color="auto" w:fill="FFFFFF" w:themeFill="background1"/>
          </w:tcPr>
          <w:p w14:paraId="4F9A5A4D"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24" w:type="dxa"/>
            <w:shd w:val="clear" w:color="auto" w:fill="FFFFFF" w:themeFill="background1"/>
          </w:tcPr>
          <w:p w14:paraId="6F8712E3"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665" w:type="dxa"/>
            <w:shd w:val="clear" w:color="auto" w:fill="FFFFFF" w:themeFill="background1"/>
          </w:tcPr>
          <w:p w14:paraId="2BEC8348"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960" w:type="dxa"/>
            <w:gridSpan w:val="2"/>
            <w:vAlign w:val="center"/>
          </w:tcPr>
          <w:p w14:paraId="2B751B87" w14:textId="77777777" w:rsidR="002D354E" w:rsidRPr="00205DFE" w:rsidRDefault="002D354E" w:rsidP="0057108F">
            <w:pPr>
              <w:spacing w:after="0"/>
              <w:jc w:val="right"/>
              <w:rPr>
                <w:b/>
                <w:bCs/>
                <w:iCs/>
                <w:sz w:val="20"/>
                <w:szCs w:val="20"/>
              </w:rPr>
            </w:pPr>
          </w:p>
        </w:tc>
      </w:tr>
      <w:tr w:rsidR="005E57A8" w:rsidRPr="00205DFE" w14:paraId="4B59C61E" w14:textId="77777777" w:rsidTr="00662490">
        <w:trPr>
          <w:trHeight w:val="350"/>
        </w:trPr>
        <w:tc>
          <w:tcPr>
            <w:tcW w:w="2034" w:type="dxa"/>
            <w:vAlign w:val="center"/>
          </w:tcPr>
          <w:p w14:paraId="429DEAE2" w14:textId="77777777" w:rsidR="005E57A8" w:rsidRPr="00205DFE" w:rsidRDefault="005E57A8" w:rsidP="0057108F">
            <w:pPr>
              <w:pStyle w:val="ListParagraph"/>
              <w:tabs>
                <w:tab w:val="left" w:pos="63"/>
              </w:tabs>
              <w:spacing w:after="0"/>
              <w:ind w:left="63"/>
              <w:contextualSpacing w:val="0"/>
              <w:rPr>
                <w:b/>
                <w:bCs/>
                <w:iCs/>
                <w:sz w:val="20"/>
                <w:szCs w:val="20"/>
              </w:rPr>
            </w:pPr>
          </w:p>
        </w:tc>
        <w:tc>
          <w:tcPr>
            <w:tcW w:w="1039" w:type="dxa"/>
            <w:shd w:val="clear" w:color="auto" w:fill="FFFFFF" w:themeFill="background1"/>
          </w:tcPr>
          <w:p w14:paraId="3F48C6C1"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17" w:type="dxa"/>
            <w:shd w:val="clear" w:color="auto" w:fill="FFFFFF" w:themeFill="background1"/>
          </w:tcPr>
          <w:p w14:paraId="65FDAE1B"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24" w:type="dxa"/>
            <w:shd w:val="clear" w:color="auto" w:fill="FFFFFF" w:themeFill="background1"/>
          </w:tcPr>
          <w:p w14:paraId="500D3366"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665" w:type="dxa"/>
            <w:shd w:val="clear" w:color="auto" w:fill="FFFFFF" w:themeFill="background1"/>
          </w:tcPr>
          <w:p w14:paraId="2579B7FB"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960" w:type="dxa"/>
            <w:gridSpan w:val="2"/>
            <w:vAlign w:val="center"/>
          </w:tcPr>
          <w:p w14:paraId="4993EF8D" w14:textId="77777777" w:rsidR="005E57A8" w:rsidRPr="00205DFE" w:rsidRDefault="005E57A8" w:rsidP="0057108F">
            <w:pPr>
              <w:spacing w:after="0"/>
              <w:ind w:right="-54"/>
              <w:jc w:val="right"/>
              <w:rPr>
                <w:b/>
                <w:bCs/>
                <w:iCs/>
                <w:sz w:val="20"/>
                <w:szCs w:val="20"/>
              </w:rPr>
            </w:pPr>
          </w:p>
        </w:tc>
      </w:tr>
      <w:tr w:rsidR="005E57A8" w:rsidRPr="00205DFE" w14:paraId="42676ADF" w14:textId="77777777" w:rsidTr="00662490">
        <w:trPr>
          <w:trHeight w:val="350"/>
        </w:trPr>
        <w:tc>
          <w:tcPr>
            <w:tcW w:w="2034" w:type="dxa"/>
            <w:vAlign w:val="center"/>
          </w:tcPr>
          <w:p w14:paraId="4E125B31" w14:textId="77777777" w:rsidR="005E57A8" w:rsidRPr="00205DFE" w:rsidRDefault="005E57A8" w:rsidP="0057108F">
            <w:pPr>
              <w:pStyle w:val="ListParagraph"/>
              <w:tabs>
                <w:tab w:val="left" w:pos="63"/>
              </w:tabs>
              <w:spacing w:after="0"/>
              <w:ind w:left="63"/>
              <w:contextualSpacing w:val="0"/>
              <w:rPr>
                <w:b/>
                <w:bCs/>
                <w:iCs/>
                <w:sz w:val="20"/>
                <w:szCs w:val="20"/>
              </w:rPr>
            </w:pPr>
          </w:p>
        </w:tc>
        <w:tc>
          <w:tcPr>
            <w:tcW w:w="1039" w:type="dxa"/>
            <w:shd w:val="clear" w:color="auto" w:fill="FFFFFF" w:themeFill="background1"/>
          </w:tcPr>
          <w:p w14:paraId="31414F07"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17" w:type="dxa"/>
            <w:shd w:val="clear" w:color="auto" w:fill="FFFFFF" w:themeFill="background1"/>
          </w:tcPr>
          <w:p w14:paraId="31818C6C"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24" w:type="dxa"/>
            <w:shd w:val="clear" w:color="auto" w:fill="FFFFFF" w:themeFill="background1"/>
          </w:tcPr>
          <w:p w14:paraId="51F4CCA5"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665" w:type="dxa"/>
            <w:shd w:val="clear" w:color="auto" w:fill="FFFFFF" w:themeFill="background1"/>
          </w:tcPr>
          <w:p w14:paraId="375BC5BC"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960" w:type="dxa"/>
            <w:gridSpan w:val="2"/>
            <w:vAlign w:val="center"/>
          </w:tcPr>
          <w:p w14:paraId="56BD976F" w14:textId="77777777" w:rsidR="005E57A8" w:rsidRPr="00205DFE" w:rsidRDefault="005E57A8" w:rsidP="0057108F">
            <w:pPr>
              <w:spacing w:after="0"/>
              <w:ind w:right="-54"/>
              <w:jc w:val="right"/>
              <w:rPr>
                <w:b/>
                <w:bCs/>
                <w:iCs/>
                <w:sz w:val="20"/>
                <w:szCs w:val="20"/>
              </w:rPr>
            </w:pPr>
          </w:p>
        </w:tc>
      </w:tr>
      <w:tr w:rsidR="002D354E" w:rsidRPr="00205DFE" w14:paraId="1C6AF0A1" w14:textId="77777777" w:rsidTr="00482AF1">
        <w:trPr>
          <w:trHeight w:val="278"/>
        </w:trPr>
        <w:tc>
          <w:tcPr>
            <w:tcW w:w="2034" w:type="dxa"/>
            <w:vAlign w:val="center"/>
          </w:tcPr>
          <w:p w14:paraId="147BB5EC" w14:textId="77777777" w:rsidR="002D354E" w:rsidRPr="00482AF1" w:rsidRDefault="002D354E" w:rsidP="0057108F">
            <w:pPr>
              <w:pStyle w:val="ListParagraph"/>
              <w:tabs>
                <w:tab w:val="left" w:pos="63"/>
              </w:tabs>
              <w:spacing w:after="0"/>
              <w:ind w:left="63"/>
              <w:contextualSpacing w:val="0"/>
              <w:rPr>
                <w:bCs/>
                <w:i/>
                <w:iCs/>
                <w:sz w:val="18"/>
                <w:szCs w:val="18"/>
              </w:rPr>
            </w:pPr>
            <w:r w:rsidRPr="00482AF1">
              <w:rPr>
                <w:bCs/>
                <w:i/>
                <w:iCs/>
                <w:sz w:val="18"/>
                <w:szCs w:val="18"/>
              </w:rPr>
              <w:t>Add rows as relevant</w:t>
            </w:r>
          </w:p>
        </w:tc>
        <w:tc>
          <w:tcPr>
            <w:tcW w:w="1039" w:type="dxa"/>
            <w:shd w:val="clear" w:color="auto" w:fill="FFFFFF" w:themeFill="background1"/>
          </w:tcPr>
          <w:p w14:paraId="68FEC818"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17" w:type="dxa"/>
            <w:shd w:val="clear" w:color="auto" w:fill="FFFFFF" w:themeFill="background1"/>
          </w:tcPr>
          <w:p w14:paraId="114F24C0"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24" w:type="dxa"/>
            <w:shd w:val="clear" w:color="auto" w:fill="FFFFFF" w:themeFill="background1"/>
          </w:tcPr>
          <w:p w14:paraId="2441A009"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665" w:type="dxa"/>
            <w:shd w:val="clear" w:color="auto" w:fill="FFFFFF" w:themeFill="background1"/>
          </w:tcPr>
          <w:p w14:paraId="04A53B49"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960" w:type="dxa"/>
            <w:gridSpan w:val="2"/>
            <w:vAlign w:val="center"/>
          </w:tcPr>
          <w:p w14:paraId="51E013F8" w14:textId="77777777" w:rsidR="002D354E" w:rsidRPr="00205DFE" w:rsidRDefault="002D354E" w:rsidP="0057108F">
            <w:pPr>
              <w:spacing w:after="0"/>
              <w:ind w:right="-54"/>
              <w:jc w:val="right"/>
              <w:rPr>
                <w:b/>
                <w:bCs/>
                <w:iCs/>
                <w:sz w:val="20"/>
                <w:szCs w:val="20"/>
              </w:rPr>
            </w:pPr>
          </w:p>
        </w:tc>
      </w:tr>
      <w:tr w:rsidR="005160ED" w:rsidRPr="00205DFE" w14:paraId="6ACE3A52" w14:textId="77777777" w:rsidTr="007B4D94">
        <w:trPr>
          <w:trHeight w:val="419"/>
        </w:trPr>
        <w:tc>
          <w:tcPr>
            <w:tcW w:w="5339" w:type="dxa"/>
            <w:gridSpan w:val="6"/>
            <w:shd w:val="clear" w:color="auto" w:fill="F2F2F2" w:themeFill="background1" w:themeFillShade="F2"/>
            <w:vAlign w:val="center"/>
          </w:tcPr>
          <w:p w14:paraId="4DC24BFA" w14:textId="77777777" w:rsidR="005160ED" w:rsidRPr="005E57A8" w:rsidRDefault="005160ED" w:rsidP="0057108F">
            <w:pPr>
              <w:pStyle w:val="ListParagraph"/>
              <w:tabs>
                <w:tab w:val="left" w:pos="338"/>
              </w:tabs>
              <w:spacing w:after="0"/>
              <w:ind w:left="0"/>
              <w:contextualSpacing w:val="0"/>
              <w:rPr>
                <w:b/>
                <w:bCs/>
                <w:iCs/>
                <w:sz w:val="20"/>
                <w:szCs w:val="20"/>
              </w:rPr>
            </w:pPr>
            <w:r w:rsidRPr="005E57A8">
              <w:rPr>
                <w:b/>
                <w:bCs/>
                <w:iCs/>
                <w:sz w:val="20"/>
                <w:szCs w:val="20"/>
              </w:rPr>
              <w:t>TOTAL AMOUNT requested from the Global Fund</w:t>
            </w:r>
          </w:p>
        </w:tc>
        <w:tc>
          <w:tcPr>
            <w:tcW w:w="5400" w:type="dxa"/>
            <w:vAlign w:val="center"/>
          </w:tcPr>
          <w:p w14:paraId="31E9A0E5" w14:textId="77777777" w:rsidR="005160ED" w:rsidRPr="00205DFE" w:rsidRDefault="005160ED" w:rsidP="0057108F">
            <w:pPr>
              <w:spacing w:after="0"/>
              <w:jc w:val="right"/>
              <w:rPr>
                <w:bCs/>
                <w:iCs/>
                <w:sz w:val="20"/>
                <w:szCs w:val="20"/>
              </w:rPr>
            </w:pPr>
          </w:p>
        </w:tc>
      </w:tr>
    </w:tbl>
    <w:p w14:paraId="6FAE9A41" w14:textId="77777777" w:rsidR="005160ED" w:rsidRDefault="005160ED" w:rsidP="0057108F">
      <w:pPr>
        <w:spacing w:after="0"/>
        <w:rPr>
          <w:rFonts w:cs="Arial"/>
          <w:bCs/>
          <w:iCs/>
        </w:rPr>
      </w:pPr>
    </w:p>
    <w:p w14:paraId="2BE5B410" w14:textId="77777777" w:rsidR="00292D16" w:rsidRPr="0059650E" w:rsidRDefault="00292D16" w:rsidP="00292D16">
      <w:pPr>
        <w:autoSpaceDE w:val="0"/>
        <w:autoSpaceDN w:val="0"/>
        <w:spacing w:after="0" w:line="240" w:lineRule="auto"/>
      </w:pPr>
      <w:r w:rsidRPr="000C4F69">
        <w:t>Specify how the accuracy and reliability of the reported results will be ensured.</w:t>
      </w:r>
    </w:p>
    <w:p w14:paraId="2639A30E" w14:textId="77777777" w:rsidR="00292D16" w:rsidRDefault="00292D16" w:rsidP="00292D16">
      <w:pPr>
        <w:spacing w:after="0" w:line="260" w:lineRule="atLeast"/>
        <w:rPr>
          <w:rFonts w:eastAsia="Calibri"/>
        </w:rPr>
      </w:pPr>
    </w:p>
    <w:tbl>
      <w:tblPr>
        <w:tblStyle w:val="TableGrid"/>
        <w:tblW w:w="0" w:type="auto"/>
        <w:tblLook w:val="04A0" w:firstRow="1" w:lastRow="0" w:firstColumn="1" w:lastColumn="0" w:noHBand="0" w:noVBand="1"/>
      </w:tblPr>
      <w:tblGrid>
        <w:gridCol w:w="10456"/>
      </w:tblGrid>
      <w:tr w:rsidR="00292D16" w:rsidRPr="005305D5" w14:paraId="41946016" w14:textId="77777777" w:rsidTr="00C71F41">
        <w:tc>
          <w:tcPr>
            <w:tcW w:w="10790" w:type="dxa"/>
          </w:tcPr>
          <w:p w14:paraId="0C311061" w14:textId="77777777" w:rsidR="00292D16" w:rsidRPr="005305D5" w:rsidRDefault="00292D16" w:rsidP="00C71F41">
            <w:r w:rsidRPr="005305D5">
              <w:t>[Applicant response]</w:t>
            </w:r>
          </w:p>
          <w:p w14:paraId="514E06DE" w14:textId="77777777" w:rsidR="00292D16" w:rsidRPr="005305D5" w:rsidRDefault="00292D16" w:rsidP="00C71F41"/>
          <w:p w14:paraId="396A643E" w14:textId="77777777" w:rsidR="00292D16" w:rsidRPr="005305D5" w:rsidRDefault="00292D16" w:rsidP="00C71F41"/>
        </w:tc>
      </w:tr>
    </w:tbl>
    <w:p w14:paraId="7A911BD5" w14:textId="7437035B" w:rsidR="00292D16" w:rsidRDefault="00292D16" w:rsidP="0057108F">
      <w:pPr>
        <w:spacing w:after="0"/>
        <w:rPr>
          <w:rFonts w:cs="Arial"/>
          <w:bCs/>
          <w:iCs/>
        </w:rPr>
      </w:pPr>
    </w:p>
    <w:p w14:paraId="7A747CF0" w14:textId="4A460094" w:rsidR="005160ED" w:rsidRDefault="005160ED" w:rsidP="0057108F">
      <w:pPr>
        <w:spacing w:after="0"/>
        <w:rPr>
          <w:rFonts w:cs="Arial"/>
          <w:bCs/>
          <w:iCs/>
        </w:rPr>
      </w:pPr>
      <w:r w:rsidRPr="000C4F69">
        <w:rPr>
          <w:rFonts w:cs="Arial"/>
          <w:bCs/>
          <w:iCs/>
        </w:rPr>
        <w:t>Explain the prioritization approach used to select performance indicators a</w:t>
      </w:r>
      <w:r w:rsidR="00FD6341" w:rsidRPr="000C4F69">
        <w:rPr>
          <w:rFonts w:cs="Arial"/>
          <w:bCs/>
          <w:iCs/>
        </w:rPr>
        <w:t xml:space="preserve">nd/or milestones as results for Global Fund </w:t>
      </w:r>
      <w:r w:rsidR="000663BB" w:rsidRPr="000C4F69">
        <w:rPr>
          <w:rFonts w:cs="Arial"/>
          <w:bCs/>
          <w:iCs/>
        </w:rPr>
        <w:t>funding</w:t>
      </w:r>
      <w:r w:rsidRPr="000C4F69">
        <w:rPr>
          <w:rFonts w:cs="Arial"/>
          <w:bCs/>
          <w:iCs/>
        </w:rPr>
        <w:t>.</w:t>
      </w:r>
      <w:r w:rsidRPr="009A672F">
        <w:rPr>
          <w:rFonts w:cs="Arial"/>
          <w:bCs/>
          <w:iCs/>
        </w:rPr>
        <w:t xml:space="preserve"> </w:t>
      </w:r>
    </w:p>
    <w:p w14:paraId="4E2196DF" w14:textId="77777777" w:rsidR="00292D16" w:rsidRPr="009A672F" w:rsidRDefault="00292D16" w:rsidP="0057108F">
      <w:pPr>
        <w:spacing w:after="0"/>
        <w:rPr>
          <w:rFonts w:cs="Arial"/>
          <w:bCs/>
          <w:iCs/>
        </w:rPr>
      </w:pPr>
    </w:p>
    <w:tbl>
      <w:tblPr>
        <w:tblStyle w:val="TableGrid"/>
        <w:tblW w:w="0" w:type="auto"/>
        <w:tblLook w:val="04A0" w:firstRow="1" w:lastRow="0" w:firstColumn="1" w:lastColumn="0" w:noHBand="0" w:noVBand="1"/>
      </w:tblPr>
      <w:tblGrid>
        <w:gridCol w:w="10456"/>
      </w:tblGrid>
      <w:tr w:rsidR="005160ED" w14:paraId="4F2778B3" w14:textId="77777777" w:rsidTr="007B4D94">
        <w:tc>
          <w:tcPr>
            <w:tcW w:w="10790" w:type="dxa"/>
          </w:tcPr>
          <w:p w14:paraId="47742E77" w14:textId="6939F0D0" w:rsidR="005160ED" w:rsidRDefault="005160ED" w:rsidP="0057108F">
            <w:pPr>
              <w:rPr>
                <w:rFonts w:cs="Arial"/>
              </w:rPr>
            </w:pPr>
          </w:p>
        </w:tc>
      </w:tr>
    </w:tbl>
    <w:p w14:paraId="19AA029C" w14:textId="77777777" w:rsidR="00346E26" w:rsidRPr="00346E26" w:rsidRDefault="00346E26" w:rsidP="0057108F">
      <w:pPr>
        <w:pStyle w:val="ListParagraph"/>
        <w:spacing w:after="0"/>
        <w:contextualSpacing w:val="0"/>
        <w:rPr>
          <w:rStyle w:val="normaltextrun"/>
          <w:rFonts w:cs="Arial"/>
          <w:bCs/>
          <w:iCs/>
        </w:rPr>
      </w:pPr>
    </w:p>
    <w:p w14:paraId="61BF9C3A" w14:textId="40244540" w:rsidR="00921FC0" w:rsidRPr="00F705F5" w:rsidRDefault="00921FC0" w:rsidP="00141FFC">
      <w:pPr>
        <w:pStyle w:val="ListParagraph"/>
        <w:numPr>
          <w:ilvl w:val="0"/>
          <w:numId w:val="9"/>
        </w:numPr>
        <w:tabs>
          <w:tab w:val="left" w:pos="450"/>
        </w:tabs>
        <w:spacing w:after="0"/>
        <w:ind w:left="450"/>
        <w:contextualSpacing w:val="0"/>
        <w:rPr>
          <w:rFonts w:cs="Arial"/>
          <w:bCs/>
          <w:iCs/>
        </w:rPr>
      </w:pPr>
      <w:r>
        <w:rPr>
          <w:rStyle w:val="normaltextrun"/>
          <w:rFonts w:cs="Arial"/>
          <w:b/>
          <w:bCs/>
          <w:color w:val="000000"/>
          <w:bdr w:val="none" w:sz="0" w:space="0" w:color="auto" w:frame="1"/>
        </w:rPr>
        <w:t xml:space="preserve">Opportunities for integration: </w:t>
      </w:r>
      <w:r w:rsidR="006425E8">
        <w:rPr>
          <w:rStyle w:val="normaltextrun"/>
          <w:rFonts w:cs="Arial"/>
        </w:rPr>
        <w:t>e</w:t>
      </w:r>
      <w:r w:rsidRPr="00F705F5">
        <w:rPr>
          <w:rStyle w:val="normaltextrun"/>
          <w:rFonts w:cs="Arial"/>
        </w:rPr>
        <w:t>xplain how the proposed investments take into consideration: </w:t>
      </w:r>
      <w:r w:rsidRPr="00F705F5">
        <w:rPr>
          <w:rStyle w:val="eop"/>
          <w:rFonts w:cs="Arial"/>
        </w:rPr>
        <w:t> </w:t>
      </w:r>
    </w:p>
    <w:p w14:paraId="099DD47F" w14:textId="05B34CBC" w:rsidR="006425E8" w:rsidRPr="006425E8" w:rsidRDefault="00381C57" w:rsidP="00141FFC">
      <w:pPr>
        <w:numPr>
          <w:ilvl w:val="0"/>
          <w:numId w:val="8"/>
        </w:numPr>
        <w:tabs>
          <w:tab w:val="clear" w:pos="720"/>
          <w:tab w:val="left" w:pos="450"/>
          <w:tab w:val="num" w:pos="1080"/>
        </w:tabs>
        <w:spacing w:after="0" w:line="240" w:lineRule="auto"/>
        <w:ind w:left="810"/>
        <w:textAlignment w:val="baseline"/>
        <w:rPr>
          <w:rFonts w:ascii="Calibri" w:eastAsia="Times New Roman" w:hAnsi="Calibri" w:cs="Calibri"/>
        </w:rPr>
      </w:pPr>
      <w:r>
        <w:rPr>
          <w:rStyle w:val="normaltextrun"/>
          <w:rFonts w:cs="Arial"/>
        </w:rPr>
        <w:t>N</w:t>
      </w:r>
      <w:r w:rsidR="00921FC0">
        <w:rPr>
          <w:rStyle w:val="normaltextrun"/>
          <w:rFonts w:cs="Arial"/>
        </w:rPr>
        <w:t xml:space="preserve">eeds across </w:t>
      </w:r>
      <w:r w:rsidR="006425E8" w:rsidRPr="006425E8">
        <w:rPr>
          <w:rFonts w:eastAsia="Times New Roman" w:cs="Arial"/>
        </w:rPr>
        <w:t>the three diseases and other related health programs</w:t>
      </w:r>
      <w:r>
        <w:rPr>
          <w:rFonts w:eastAsia="Times New Roman" w:cs="Arial"/>
        </w:rPr>
        <w:t>;</w:t>
      </w:r>
      <w:r w:rsidR="006425E8" w:rsidRPr="006425E8">
        <w:rPr>
          <w:rFonts w:eastAsia="Times New Roman" w:cs="Arial"/>
        </w:rPr>
        <w:t>  </w:t>
      </w:r>
    </w:p>
    <w:p w14:paraId="0F583BE4" w14:textId="4657074D" w:rsidR="006425E8" w:rsidRDefault="00381C57" w:rsidP="00141FFC">
      <w:pPr>
        <w:pStyle w:val="paragraph"/>
        <w:numPr>
          <w:ilvl w:val="0"/>
          <w:numId w:val="3"/>
        </w:numPr>
        <w:tabs>
          <w:tab w:val="clear" w:pos="720"/>
          <w:tab w:val="left" w:pos="450"/>
          <w:tab w:val="num" w:pos="1440"/>
        </w:tabs>
        <w:spacing w:before="0" w:beforeAutospacing="0" w:after="0" w:afterAutospacing="0"/>
        <w:ind w:left="810"/>
        <w:textAlignment w:val="baseline"/>
        <w:rPr>
          <w:rStyle w:val="eop"/>
          <w:rFonts w:ascii="Calibri" w:hAnsi="Calibri" w:cs="Calibri"/>
          <w:sz w:val="22"/>
          <w:szCs w:val="22"/>
        </w:rPr>
      </w:pPr>
      <w:r>
        <w:rPr>
          <w:rStyle w:val="normaltextrun"/>
          <w:rFonts w:ascii="Arial" w:hAnsi="Arial" w:cs="Arial"/>
          <w:sz w:val="22"/>
          <w:szCs w:val="22"/>
        </w:rPr>
        <w:t>L</w:t>
      </w:r>
      <w:r w:rsidR="00921FC0">
        <w:rPr>
          <w:rStyle w:val="normaltextrun"/>
          <w:rFonts w:ascii="Arial" w:hAnsi="Arial" w:cs="Arial"/>
          <w:sz w:val="22"/>
          <w:szCs w:val="22"/>
        </w:rPr>
        <w:t>inks with the broader health systems to improve disease outcomes</w:t>
      </w:r>
      <w:r>
        <w:rPr>
          <w:rStyle w:val="normaltextrun"/>
          <w:rFonts w:ascii="Arial" w:hAnsi="Arial" w:cs="Arial"/>
          <w:sz w:val="22"/>
          <w:szCs w:val="22"/>
        </w:rPr>
        <w:t>,</w:t>
      </w:r>
      <w:r w:rsidDel="00381C57">
        <w:rPr>
          <w:rStyle w:val="normaltextrun"/>
          <w:rFonts w:ascii="Arial" w:hAnsi="Arial" w:cs="Arial"/>
          <w:sz w:val="22"/>
          <w:szCs w:val="22"/>
        </w:rPr>
        <w:t xml:space="preserve"> </w:t>
      </w:r>
      <w:r w:rsidR="00921FC0">
        <w:rPr>
          <w:rStyle w:val="contextualspellingandgrammarerror"/>
          <w:rFonts w:ascii="Arial" w:hAnsi="Arial" w:cs="Arial"/>
          <w:sz w:val="22"/>
          <w:szCs w:val="22"/>
        </w:rPr>
        <w:t>efficiency and</w:t>
      </w:r>
      <w:r w:rsidR="00921FC0">
        <w:rPr>
          <w:rStyle w:val="normaltextrun"/>
          <w:rFonts w:ascii="Arial" w:hAnsi="Arial" w:cs="Arial"/>
          <w:sz w:val="22"/>
          <w:szCs w:val="22"/>
        </w:rPr>
        <w:t> </w:t>
      </w:r>
      <w:r>
        <w:rPr>
          <w:rStyle w:val="normaltextrun"/>
          <w:rFonts w:ascii="Arial" w:hAnsi="Arial" w:cs="Arial"/>
          <w:sz w:val="22"/>
          <w:szCs w:val="22"/>
        </w:rPr>
        <w:t xml:space="preserve">program </w:t>
      </w:r>
      <w:r w:rsidR="00921FC0">
        <w:rPr>
          <w:rStyle w:val="normaltextrun"/>
          <w:rFonts w:ascii="Arial" w:hAnsi="Arial" w:cs="Arial"/>
          <w:sz w:val="22"/>
          <w:szCs w:val="22"/>
        </w:rPr>
        <w:t>sustainability.</w:t>
      </w:r>
      <w:r w:rsidR="00921FC0">
        <w:rPr>
          <w:rStyle w:val="normaltextrun"/>
          <w:rFonts w:ascii="Calibri" w:hAnsi="Calibri" w:cs="Calibri"/>
          <w:b/>
          <w:bCs/>
          <w:sz w:val="22"/>
          <w:szCs w:val="22"/>
        </w:rPr>
        <w:t> </w:t>
      </w:r>
      <w:r w:rsidR="00921FC0">
        <w:rPr>
          <w:rStyle w:val="eop"/>
          <w:rFonts w:ascii="Calibri" w:hAnsi="Calibri" w:cs="Calibri"/>
          <w:sz w:val="22"/>
          <w:szCs w:val="22"/>
        </w:rPr>
        <w:t> </w:t>
      </w:r>
    </w:p>
    <w:p w14:paraId="13BFE30D" w14:textId="77777777" w:rsidR="00C91DB5" w:rsidRPr="00F9161A" w:rsidRDefault="00C91DB5" w:rsidP="00C91DB5">
      <w:pPr>
        <w:pStyle w:val="paragraph"/>
        <w:tabs>
          <w:tab w:val="left" w:pos="450"/>
        </w:tabs>
        <w:spacing w:before="0" w:beforeAutospacing="0" w:after="0" w:afterAutospacing="0"/>
        <w:ind w:left="810"/>
        <w:textAlignment w:val="baseline"/>
        <w:rPr>
          <w:rFonts w:ascii="Calibri" w:hAnsi="Calibri" w:cs="Calibri"/>
          <w:sz w:val="22"/>
          <w:szCs w:val="22"/>
        </w:rPr>
      </w:pPr>
    </w:p>
    <w:tbl>
      <w:tblPr>
        <w:tblStyle w:val="TableGrid"/>
        <w:tblW w:w="0" w:type="auto"/>
        <w:tblLook w:val="04A0" w:firstRow="1" w:lastRow="0" w:firstColumn="1" w:lastColumn="0" w:noHBand="0" w:noVBand="1"/>
      </w:tblPr>
      <w:tblGrid>
        <w:gridCol w:w="10456"/>
      </w:tblGrid>
      <w:tr w:rsidR="00921FC0" w14:paraId="2530DD3D" w14:textId="77777777" w:rsidTr="00654BC3">
        <w:tc>
          <w:tcPr>
            <w:tcW w:w="10790" w:type="dxa"/>
          </w:tcPr>
          <w:p w14:paraId="25B1010B" w14:textId="77777777" w:rsidR="00512964" w:rsidRPr="00512964" w:rsidRDefault="00512964" w:rsidP="00512964">
            <w:pPr>
              <w:rPr>
                <w:rFonts w:cs="Arial"/>
              </w:rPr>
            </w:pPr>
            <w:r w:rsidRPr="00512964">
              <w:rPr>
                <w:rFonts w:cs="Arial"/>
              </w:rPr>
              <w:t xml:space="preserve">In Bangladesh, achievement in the Health Sector do not solely result from MOHFW’s success; the other sectors like information, education, social welfare and agriculture etc. also contribute enormously. </w:t>
            </w:r>
            <w:r w:rsidRPr="00512964">
              <w:rPr>
                <w:rFonts w:cs="Arial"/>
              </w:rPr>
              <w:lastRenderedPageBreak/>
              <w:t xml:space="preserve">Therefore in 4th </w:t>
            </w:r>
            <w:proofErr w:type="gramStart"/>
            <w:r w:rsidRPr="00512964">
              <w:rPr>
                <w:rFonts w:cs="Arial"/>
              </w:rPr>
              <w:t>HPNSP ,</w:t>
            </w:r>
            <w:proofErr w:type="gramEnd"/>
            <w:r w:rsidRPr="00512964">
              <w:rPr>
                <w:rFonts w:cs="Arial"/>
              </w:rPr>
              <w:t xml:space="preserve"> MOHFW aim to work closely with others sector to achieve the HNP related SDG Targets.  For TB, to address the issues that affect access to health care, impact nutritional status, health related catastrophic </w:t>
            </w:r>
            <w:proofErr w:type="gramStart"/>
            <w:r w:rsidRPr="00512964">
              <w:rPr>
                <w:rFonts w:cs="Arial"/>
              </w:rPr>
              <w:t>cost ,</w:t>
            </w:r>
            <w:proofErr w:type="gramEnd"/>
            <w:r w:rsidRPr="00512964">
              <w:rPr>
                <w:rFonts w:cs="Arial"/>
              </w:rPr>
              <w:t xml:space="preserve"> to overcome social barrier and stigma related TB ,  concerned effort and actions across the multiple sector will be taken.</w:t>
            </w:r>
          </w:p>
          <w:p w14:paraId="1281D39F" w14:textId="77777777" w:rsidR="00512964" w:rsidRPr="00512964" w:rsidRDefault="00512964" w:rsidP="00512964">
            <w:pPr>
              <w:rPr>
                <w:rFonts w:cs="Arial"/>
              </w:rPr>
            </w:pPr>
            <w:r w:rsidRPr="00512964">
              <w:rPr>
                <w:rFonts w:cs="Arial"/>
              </w:rPr>
              <w:t xml:space="preserve">Bangladesh was represented at the Moscow Ministerial meeting on TB that was held in November 2017 and was a signatory to the Ministerial Declaration that came out of this meeting in which countries committed to accelerate action to end TB to meet the milestones towards achieving the SDGs. An important outcome of this meeting was the commitment by countries to pursue a multi – sectoral approach with engagement of Government at the highest possible level to the fight against TB. The People’s Republic of Bangladesh was also represented at the  first ever United Nations General Assembly Meeting on TB (TB-UNHLM) in which a number of commitments were made by Heads of States and Governments to fight TB including the adoption of very ambitious targets such as the identification and treatment of  40 million people with TB  disease  and the provision of TB preventive therapy to 30 million people with latent TB infection (LTBI) by 2022 and closing the TB financial gap to reach the End TB Strategy  and SDGs goals and targets. </w:t>
            </w:r>
          </w:p>
          <w:p w14:paraId="19A03F53" w14:textId="77777777" w:rsidR="00512964" w:rsidRPr="00512964" w:rsidRDefault="00512964" w:rsidP="00512964">
            <w:pPr>
              <w:rPr>
                <w:rFonts w:cs="Arial"/>
              </w:rPr>
            </w:pPr>
            <w:r w:rsidRPr="00512964">
              <w:rPr>
                <w:rFonts w:cs="Arial"/>
              </w:rPr>
              <w:t xml:space="preserve">The 4th Health, Population and Nutrition Sector Programme (2017-2022), provides a coherent vision for the Health Sector and clearly describes the needs. It includes a well thought out essential service package and has defined impact goals. Tuberculosis is included among the 29 operational programmes in the 4th HPNSP. </w:t>
            </w:r>
          </w:p>
          <w:p w14:paraId="222FF759" w14:textId="4F1AE3CE" w:rsidR="00D864F6" w:rsidRDefault="00512964" w:rsidP="00D864F6">
            <w:pPr>
              <w:rPr>
                <w:rFonts w:cs="Arial"/>
              </w:rPr>
            </w:pPr>
            <w:r w:rsidRPr="00512964">
              <w:rPr>
                <w:rFonts w:cs="Arial"/>
              </w:rPr>
              <w:t>Government of Bangladesh is such committed to achieve the global commitment and in light with this NSP 2021-2025 prioritizing focus for establishing a  multisectoral  accountability framework for TB by engaging high level ministry , WHO and other development partners and affected community. This will be a customized framework for Bangladesh in collaboration with WHO.</w:t>
            </w:r>
            <w:r w:rsidR="00D864F6">
              <w:rPr>
                <w:rFonts w:cs="Arial"/>
              </w:rPr>
              <w:t xml:space="preserve"> Examples of integration included in this FR are activities targeting m</w:t>
            </w:r>
            <w:r w:rsidR="00D864F6" w:rsidRPr="00D864F6">
              <w:rPr>
                <w:rFonts w:cs="Arial"/>
              </w:rPr>
              <w:t>alnourished populations, especially children</w:t>
            </w:r>
            <w:r w:rsidR="00D864F6">
              <w:rPr>
                <w:rFonts w:cs="Arial"/>
              </w:rPr>
              <w:t xml:space="preserve">. </w:t>
            </w:r>
            <w:r w:rsidR="00D864F6" w:rsidRPr="00D864F6">
              <w:rPr>
                <w:rFonts w:cs="Arial"/>
              </w:rPr>
              <w:t>Under this strategy, clinics and outreach (satellite clinic) efforts that screen for and monitor malnutrition will receive training to include TB screening and referral activities.  Also, TB screening and referral activities will be integrated into Bangladesh’s highly successful IMCI program, providing an important opportunity to identify childhood TB cases through existing, well-established mechanisms.</w:t>
            </w:r>
          </w:p>
        </w:tc>
      </w:tr>
    </w:tbl>
    <w:p w14:paraId="5EA420B6" w14:textId="2DF6AF8C" w:rsidR="00412A61" w:rsidRDefault="00412A61" w:rsidP="0057108F">
      <w:pPr>
        <w:spacing w:after="0" w:line="256" w:lineRule="auto"/>
        <w:rPr>
          <w:rFonts w:cs="Arial"/>
          <w:szCs w:val="20"/>
        </w:rPr>
      </w:pPr>
    </w:p>
    <w:p w14:paraId="6BB94A53" w14:textId="77777777" w:rsidR="00412A61" w:rsidRDefault="00412A61" w:rsidP="0057108F">
      <w:pPr>
        <w:spacing w:after="0"/>
        <w:rPr>
          <w:rFonts w:cs="Arial"/>
          <w:szCs w:val="20"/>
        </w:rPr>
      </w:pPr>
      <w:r>
        <w:rPr>
          <w:rFonts w:cs="Arial"/>
          <w:szCs w:val="20"/>
        </w:rPr>
        <w:br w:type="page"/>
      </w:r>
    </w:p>
    <w:p w14:paraId="6ADC2642" w14:textId="4376278A" w:rsidR="00AB4A41" w:rsidRDefault="00911E22" w:rsidP="00141FFC">
      <w:pPr>
        <w:pStyle w:val="ListParagraph"/>
        <w:numPr>
          <w:ilvl w:val="0"/>
          <w:numId w:val="9"/>
        </w:numPr>
        <w:tabs>
          <w:tab w:val="left" w:pos="450"/>
        </w:tabs>
        <w:spacing w:after="0"/>
        <w:ind w:left="450"/>
        <w:contextualSpacing w:val="0"/>
        <w:rPr>
          <w:rStyle w:val="normaltextrun"/>
          <w:color w:val="000000"/>
          <w:bdr w:val="none" w:sz="0" w:space="0" w:color="auto" w:frame="1"/>
        </w:rPr>
      </w:pPr>
      <w:bookmarkStart w:id="24" w:name="_Hlk13059004"/>
      <w:r w:rsidRPr="00346E26">
        <w:rPr>
          <w:rStyle w:val="normaltextrun"/>
          <w:color w:val="000000"/>
          <w:bdr w:val="none" w:sz="0" w:space="0" w:color="auto" w:frame="1"/>
        </w:rPr>
        <w:lastRenderedPageBreak/>
        <w:t>Summarize</w:t>
      </w:r>
      <w:r w:rsidR="00160263" w:rsidRPr="00346E26">
        <w:rPr>
          <w:rStyle w:val="normaltextrun"/>
          <w:color w:val="000000"/>
          <w:bdr w:val="none" w:sz="0" w:space="0" w:color="auto" w:frame="1"/>
        </w:rPr>
        <w:t xml:space="preserve"> </w:t>
      </w:r>
      <w:r w:rsidR="00A56FC3" w:rsidRPr="00346E26">
        <w:rPr>
          <w:rStyle w:val="normaltextrun"/>
          <w:color w:val="000000"/>
          <w:bdr w:val="none" w:sz="0" w:space="0" w:color="auto" w:frame="1"/>
        </w:rPr>
        <w:t xml:space="preserve">how the funding request complies with </w:t>
      </w:r>
      <w:r w:rsidR="00A56FC3" w:rsidRPr="00346E26">
        <w:rPr>
          <w:rStyle w:val="normaltextrun"/>
          <w:bCs/>
          <w:color w:val="000000"/>
          <w:bdr w:val="none" w:sz="0" w:space="0" w:color="auto" w:frame="1"/>
        </w:rPr>
        <w:t xml:space="preserve">the </w:t>
      </w:r>
      <w:r w:rsidR="00A56FC3" w:rsidRPr="00346E26">
        <w:rPr>
          <w:rStyle w:val="normaltextrun"/>
          <w:b/>
          <w:bCs/>
          <w:color w:val="000000"/>
          <w:bdr w:val="none" w:sz="0" w:space="0" w:color="auto" w:frame="1"/>
        </w:rPr>
        <w:t xml:space="preserve">application </w:t>
      </w:r>
      <w:r w:rsidR="00F26815">
        <w:rPr>
          <w:rStyle w:val="normaltextrun"/>
          <w:b/>
          <w:bCs/>
          <w:color w:val="000000"/>
          <w:bdr w:val="none" w:sz="0" w:space="0" w:color="auto" w:frame="1"/>
        </w:rPr>
        <w:t xml:space="preserve">focus </w:t>
      </w:r>
      <w:r w:rsidR="00A56FC3" w:rsidRPr="00346E26">
        <w:rPr>
          <w:rStyle w:val="normaltextrun"/>
          <w:b/>
          <w:bCs/>
          <w:color w:val="000000"/>
          <w:bdr w:val="none" w:sz="0" w:space="0" w:color="auto" w:frame="1"/>
        </w:rPr>
        <w:t>requirements</w:t>
      </w:r>
      <w:r w:rsidR="001079C7" w:rsidRPr="00346E26">
        <w:rPr>
          <w:rStyle w:val="normaltextrun"/>
          <w:color w:val="000000"/>
          <w:bdr w:val="none" w:sz="0" w:space="0" w:color="auto" w:frame="1"/>
        </w:rPr>
        <w:t xml:space="preserve"> specified in the </w:t>
      </w:r>
      <w:r w:rsidR="00A56FC3" w:rsidRPr="00346E26">
        <w:rPr>
          <w:rStyle w:val="normaltextrun"/>
          <w:color w:val="000000"/>
          <w:bdr w:val="none" w:sz="0" w:space="0" w:color="auto" w:frame="1"/>
        </w:rPr>
        <w:t>alloca</w:t>
      </w:r>
      <w:r w:rsidR="001079C7" w:rsidRPr="00346E26">
        <w:rPr>
          <w:rStyle w:val="normaltextrun"/>
          <w:color w:val="000000"/>
          <w:bdr w:val="none" w:sz="0" w:space="0" w:color="auto" w:frame="1"/>
        </w:rPr>
        <w:t>tion letter</w:t>
      </w:r>
      <w:r w:rsidR="00AB4A41" w:rsidRPr="00346E26">
        <w:rPr>
          <w:rStyle w:val="normaltextrun"/>
          <w:color w:val="000000"/>
          <w:bdr w:val="none" w:sz="0" w:space="0" w:color="auto" w:frame="1"/>
        </w:rPr>
        <w:t>.</w:t>
      </w:r>
    </w:p>
    <w:p w14:paraId="26D7AD5B" w14:textId="77777777" w:rsidR="00C91DB5" w:rsidRPr="00346E26" w:rsidRDefault="00C91DB5" w:rsidP="00C91DB5">
      <w:pPr>
        <w:pStyle w:val="ListParagraph"/>
        <w:tabs>
          <w:tab w:val="left" w:pos="450"/>
        </w:tabs>
        <w:spacing w:after="0"/>
        <w:ind w:left="450"/>
        <w:contextualSpacing w:val="0"/>
        <w:rPr>
          <w:rStyle w:val="normaltextrun"/>
          <w:color w:val="000000"/>
          <w:bdr w:val="none" w:sz="0" w:space="0" w:color="auto" w:frame="1"/>
        </w:rPr>
      </w:pPr>
    </w:p>
    <w:tbl>
      <w:tblPr>
        <w:tblStyle w:val="TableGrid"/>
        <w:tblW w:w="0" w:type="auto"/>
        <w:tblLook w:val="04A0" w:firstRow="1" w:lastRow="0" w:firstColumn="1" w:lastColumn="0" w:noHBand="0" w:noVBand="1"/>
      </w:tblPr>
      <w:tblGrid>
        <w:gridCol w:w="10456"/>
      </w:tblGrid>
      <w:tr w:rsidR="00A56FC3" w14:paraId="7B28C1BB" w14:textId="77777777" w:rsidTr="007B4D94">
        <w:tc>
          <w:tcPr>
            <w:tcW w:w="10790" w:type="dxa"/>
          </w:tcPr>
          <w:p w14:paraId="5D14AB9A" w14:textId="763D8D74" w:rsidR="00FC1C49" w:rsidRDefault="00E45A58" w:rsidP="0057108F">
            <w:pPr>
              <w:rPr>
                <w:rFonts w:cs="Arial"/>
              </w:rPr>
            </w:pPr>
            <w:r w:rsidRPr="00E45A58">
              <w:rPr>
                <w:rFonts w:cs="Arial"/>
              </w:rPr>
              <w:t>As Bangladesh is classified as a lower lower-middle-income country, at least 50% of allocation funding should be for disease-specific interventions for key and vulnerable populations and/or highest impact interventions</w:t>
            </w:r>
            <w:r>
              <w:rPr>
                <w:rFonts w:cs="Arial"/>
              </w:rPr>
              <w:t xml:space="preserve">. </w:t>
            </w:r>
            <w:r w:rsidR="00FC1C49" w:rsidRPr="00FC1C49">
              <w:rPr>
                <w:rFonts w:cs="Arial"/>
              </w:rPr>
              <w:t xml:space="preserve">The development of the funding proposal was guided by the principle of investing available resources in those interventions that will achieve maximum impact. Based on internationally accepted principles as formulated in WHO's TB policy documents, maximum impact for TB control is expected from interventions that either increase case detection (for both drug-sensitive and MDR-TB cases) or improve treatment outcomes for detected cases. Over the previous years, the NTP has been very successful in establishing treatment services that assure very high treatment success rates for detected cases, regularly </w:t>
            </w:r>
            <w:proofErr w:type="gramStart"/>
            <w:r w:rsidR="00FC1C49" w:rsidRPr="00FC1C49">
              <w:rPr>
                <w:rFonts w:cs="Arial"/>
              </w:rPr>
              <w:t>exceeding  90</w:t>
            </w:r>
            <w:proofErr w:type="gramEnd"/>
            <w:r w:rsidR="00FC1C49" w:rsidRPr="00FC1C49">
              <w:rPr>
                <w:rFonts w:cs="Arial"/>
              </w:rPr>
              <w:t>% for smear-positive cases. The further improvement of treatment outcomes was therefore not of primary concern for the development of the funding proposal.</w:t>
            </w:r>
            <w:r w:rsidR="00FC1C49">
              <w:rPr>
                <w:rFonts w:cs="Arial"/>
              </w:rPr>
              <w:t xml:space="preserve"> Instead, the funding request focuses on the NSP strategy “</w:t>
            </w:r>
            <w:r w:rsidR="00FC1C49" w:rsidRPr="00FC1C49">
              <w:rPr>
                <w:rFonts w:cs="Arial"/>
              </w:rPr>
              <w:t>Increase annual case detection of all forms of TB to more than 90% of all incident cases by 2022 (from baseline of 75% in 2018) and maintain NTP performance during 2022-2025</w:t>
            </w:r>
            <w:r w:rsidR="00FC1C49">
              <w:rPr>
                <w:rFonts w:cs="Arial"/>
              </w:rPr>
              <w:t xml:space="preserve">”. The funding requested for this priority area, which is fully in line with the </w:t>
            </w:r>
            <w:r w:rsidR="00FC1C49" w:rsidRPr="00FC1C49">
              <w:rPr>
                <w:rFonts w:cs="Arial"/>
              </w:rPr>
              <w:t>application focus requirements</w:t>
            </w:r>
            <w:r w:rsidR="00FC1C49">
              <w:rPr>
                <w:rFonts w:cs="Arial"/>
              </w:rPr>
              <w:t>, exceeds 60% of the total funding request.</w:t>
            </w:r>
          </w:p>
          <w:p w14:paraId="09EDD1EF" w14:textId="77777777" w:rsidR="00A56FC3" w:rsidRDefault="00A56FC3" w:rsidP="0057108F">
            <w:pPr>
              <w:rPr>
                <w:rFonts w:cs="Arial"/>
              </w:rPr>
            </w:pPr>
          </w:p>
          <w:p w14:paraId="039B62C5" w14:textId="77777777" w:rsidR="00A56FC3" w:rsidRDefault="00A56FC3" w:rsidP="0057108F">
            <w:pPr>
              <w:rPr>
                <w:rFonts w:cs="Arial"/>
              </w:rPr>
            </w:pPr>
          </w:p>
        </w:tc>
      </w:tr>
    </w:tbl>
    <w:p w14:paraId="28BB725F" w14:textId="5DA2F091" w:rsidR="00412A61" w:rsidRDefault="00412A61" w:rsidP="0057108F">
      <w:pPr>
        <w:pStyle w:val="paragraph"/>
        <w:spacing w:before="0" w:beforeAutospacing="0" w:after="0" w:afterAutospacing="0"/>
        <w:textAlignment w:val="baseline"/>
        <w:rPr>
          <w:rStyle w:val="normaltextrun"/>
          <w:rFonts w:ascii="Arial" w:hAnsi="Arial" w:cs="Arial"/>
          <w:sz w:val="22"/>
          <w:szCs w:val="22"/>
        </w:rPr>
      </w:pPr>
    </w:p>
    <w:p w14:paraId="402969C4" w14:textId="36E7A022" w:rsidR="00192AFD" w:rsidRPr="00192AFD" w:rsidRDefault="00192AFD" w:rsidP="00141FFC">
      <w:pPr>
        <w:pStyle w:val="ListParagraph"/>
        <w:numPr>
          <w:ilvl w:val="0"/>
          <w:numId w:val="9"/>
        </w:numPr>
        <w:tabs>
          <w:tab w:val="left" w:pos="450"/>
        </w:tabs>
        <w:spacing w:after="0"/>
        <w:ind w:left="450"/>
        <w:contextualSpacing w:val="0"/>
        <w:rPr>
          <w:rStyle w:val="normaltextrun"/>
          <w:color w:val="000000"/>
          <w:bdr w:val="none" w:sz="0" w:space="0" w:color="auto" w:frame="1"/>
        </w:rPr>
      </w:pPr>
      <w:r w:rsidRPr="00192AFD">
        <w:rPr>
          <w:rStyle w:val="normaltextrun"/>
          <w:color w:val="000000"/>
          <w:bdr w:val="none" w:sz="0" w:space="0" w:color="auto" w:frame="1"/>
        </w:rPr>
        <w:t xml:space="preserve">Explain how this funding request reflects </w:t>
      </w:r>
      <w:r w:rsidRPr="00192AFD">
        <w:rPr>
          <w:rStyle w:val="normaltextrun"/>
          <w:b/>
          <w:color w:val="000000"/>
          <w:bdr w:val="none" w:sz="0" w:space="0" w:color="auto" w:frame="1"/>
        </w:rPr>
        <w:t>value for money</w:t>
      </w:r>
      <w:r w:rsidRPr="00192AFD">
        <w:rPr>
          <w:rStyle w:val="normaltextrun"/>
          <w:color w:val="000000"/>
          <w:bdr w:val="none" w:sz="0" w:space="0" w:color="auto" w:frame="1"/>
        </w:rPr>
        <w:t>, including examples of improvement in value for money compared to the current allocation period. To respond, refer to the Instructions for the aspects of value for money that should be considered.</w:t>
      </w:r>
    </w:p>
    <w:p w14:paraId="1CDE8C44" w14:textId="77777777" w:rsidR="00C2469E" w:rsidRPr="00346E26" w:rsidRDefault="00C2469E" w:rsidP="00C2469E">
      <w:pPr>
        <w:pStyle w:val="ListParagraph"/>
        <w:tabs>
          <w:tab w:val="left" w:pos="450"/>
        </w:tabs>
        <w:spacing w:after="0"/>
        <w:ind w:left="450"/>
        <w:contextualSpacing w:val="0"/>
        <w:rPr>
          <w:rStyle w:val="normaltextrun"/>
          <w:color w:val="000000"/>
          <w:bdr w:val="none" w:sz="0" w:space="0" w:color="auto" w:frame="1"/>
        </w:rPr>
      </w:pPr>
    </w:p>
    <w:tbl>
      <w:tblPr>
        <w:tblStyle w:val="TableGrid"/>
        <w:tblW w:w="0" w:type="auto"/>
        <w:tblLook w:val="04A0" w:firstRow="1" w:lastRow="0" w:firstColumn="1" w:lastColumn="0" w:noHBand="0" w:noVBand="1"/>
      </w:tblPr>
      <w:tblGrid>
        <w:gridCol w:w="10456"/>
      </w:tblGrid>
      <w:tr w:rsidR="00777A0A" w14:paraId="152FCAF0" w14:textId="77777777" w:rsidTr="007B4D94">
        <w:tc>
          <w:tcPr>
            <w:tcW w:w="10790" w:type="dxa"/>
          </w:tcPr>
          <w:p w14:paraId="5F9C4166" w14:textId="52A10FF0" w:rsidR="00777A0A" w:rsidRDefault="00FC1C49" w:rsidP="00FC1C49">
            <w:pPr>
              <w:rPr>
                <w:rFonts w:cs="Arial"/>
              </w:rPr>
            </w:pPr>
            <w:r>
              <w:rPr>
                <w:rFonts w:cs="Arial"/>
              </w:rPr>
              <w:t xml:space="preserve">The NTP will employ multiple strategies to ensure that the </w:t>
            </w:r>
            <w:r w:rsidRPr="00FC1C49">
              <w:rPr>
                <w:rFonts w:cs="Arial"/>
              </w:rPr>
              <w:t>funding request reflects value for money</w:t>
            </w:r>
            <w:r>
              <w:rPr>
                <w:rFonts w:cs="Arial"/>
              </w:rPr>
              <w:t xml:space="preserve">. In response to the requirements outlined in the allocation letter, the NTP will ensure that all </w:t>
            </w:r>
            <w:r w:rsidRPr="00FC1C49">
              <w:rPr>
                <w:rFonts w:cs="Arial"/>
              </w:rPr>
              <w:t xml:space="preserve">commodities </w:t>
            </w:r>
            <w:r>
              <w:rPr>
                <w:rFonts w:cs="Arial"/>
              </w:rPr>
              <w:t xml:space="preserve">will be </w:t>
            </w:r>
            <w:r w:rsidRPr="00FC1C49">
              <w:rPr>
                <w:rFonts w:cs="Arial"/>
              </w:rPr>
              <w:t xml:space="preserve">purchased at a price </w:t>
            </w:r>
            <w:r>
              <w:rPr>
                <w:rFonts w:cs="Arial"/>
              </w:rPr>
              <w:t>not exceeding</w:t>
            </w:r>
            <w:r w:rsidRPr="00FC1C49">
              <w:rPr>
                <w:rFonts w:cs="Arial"/>
              </w:rPr>
              <w:t xml:space="preserve"> the reference price for such</w:t>
            </w:r>
            <w:r>
              <w:rPr>
                <w:rFonts w:cs="Arial"/>
              </w:rPr>
              <w:t xml:space="preserve"> </w:t>
            </w:r>
            <w:r w:rsidRPr="00FC1C49">
              <w:rPr>
                <w:rFonts w:cs="Arial"/>
              </w:rPr>
              <w:t>commodities, where one exists</w:t>
            </w:r>
            <w:r>
              <w:rPr>
                <w:rFonts w:cs="Arial"/>
              </w:rPr>
              <w:t xml:space="preserve">. In addition, the NTP has performed a comprehensive review of the staff </w:t>
            </w:r>
            <w:r w:rsidR="009A759C">
              <w:rPr>
                <w:rFonts w:cs="Arial"/>
              </w:rPr>
              <w:t xml:space="preserve">requirements </w:t>
            </w:r>
            <w:r w:rsidR="00577723">
              <w:rPr>
                <w:rFonts w:cs="Arial"/>
              </w:rPr>
              <w:t xml:space="preserve">and organizational structure </w:t>
            </w:r>
            <w:r w:rsidR="009A759C">
              <w:rPr>
                <w:rFonts w:cs="Arial"/>
              </w:rPr>
              <w:t>for program implementation during the development process for the concept note and will employ the following strategies to m</w:t>
            </w:r>
            <w:r w:rsidR="009A759C" w:rsidRPr="009A759C">
              <w:rPr>
                <w:rFonts w:cs="Arial"/>
              </w:rPr>
              <w:t xml:space="preserve">aximize </w:t>
            </w:r>
            <w:r w:rsidR="009A759C">
              <w:rPr>
                <w:rFonts w:cs="Arial"/>
              </w:rPr>
              <w:t>the c</w:t>
            </w:r>
            <w:r w:rsidR="009A759C" w:rsidRPr="009A759C">
              <w:rPr>
                <w:rFonts w:cs="Arial"/>
              </w:rPr>
              <w:t xml:space="preserve">apacity and </w:t>
            </w:r>
            <w:r w:rsidR="009A759C">
              <w:rPr>
                <w:rFonts w:cs="Arial"/>
              </w:rPr>
              <w:t>e</w:t>
            </w:r>
            <w:r w:rsidR="009A759C" w:rsidRPr="009A759C">
              <w:rPr>
                <w:rFonts w:cs="Arial"/>
              </w:rPr>
              <w:t xml:space="preserve">fficiency of </w:t>
            </w:r>
            <w:r w:rsidR="009A759C">
              <w:rPr>
                <w:rFonts w:cs="Arial"/>
              </w:rPr>
              <w:t>the h</w:t>
            </w:r>
            <w:r w:rsidR="009A759C" w:rsidRPr="009A759C">
              <w:rPr>
                <w:rFonts w:cs="Arial"/>
              </w:rPr>
              <w:t xml:space="preserve">ealth </w:t>
            </w:r>
            <w:r w:rsidR="009A759C">
              <w:rPr>
                <w:rFonts w:cs="Arial"/>
              </w:rPr>
              <w:t>w</w:t>
            </w:r>
            <w:r w:rsidR="009A759C" w:rsidRPr="009A759C">
              <w:rPr>
                <w:rFonts w:cs="Arial"/>
              </w:rPr>
              <w:t>orkforce for integrated TB care</w:t>
            </w:r>
            <w:r w:rsidR="009A759C">
              <w:rPr>
                <w:rFonts w:cs="Arial"/>
              </w:rPr>
              <w:t>:</w:t>
            </w:r>
          </w:p>
          <w:p w14:paraId="3E40AE86" w14:textId="3DD6F2E3" w:rsidR="009A759C" w:rsidRDefault="009A759C" w:rsidP="00FC1C49">
            <w:pPr>
              <w:rPr>
                <w:rFonts w:cs="Arial"/>
              </w:rPr>
            </w:pPr>
          </w:p>
          <w:p w14:paraId="7AB7F99E" w14:textId="77777777" w:rsidR="00577723" w:rsidRPr="00577723" w:rsidRDefault="00577723" w:rsidP="00577723">
            <w:pPr>
              <w:rPr>
                <w:rFonts w:cs="Arial"/>
              </w:rPr>
            </w:pPr>
            <w:r w:rsidRPr="00577723">
              <w:rPr>
                <w:rFonts w:cs="Arial"/>
              </w:rPr>
              <w:t>National TB Control Programme recommended HR structure for supporting implementations of TB control activities in rural and urban areas for BRAC. The proposed structure will strengthen the government health system, improve the ownership local government authorities, strengthen supervision, improve quality, increase government staff participation and contribution for a long sustainability of the programme. This structure is also similar to the other 5 NTP partner NGOs supported in rural areas under Global Fund Grants as BRAC SR.</w:t>
            </w:r>
          </w:p>
          <w:p w14:paraId="7EF01170" w14:textId="77777777" w:rsidR="00577723" w:rsidRPr="00577723" w:rsidRDefault="00577723" w:rsidP="00577723">
            <w:pPr>
              <w:rPr>
                <w:rFonts w:cs="Arial"/>
              </w:rPr>
            </w:pPr>
          </w:p>
          <w:p w14:paraId="5AD9FD62" w14:textId="77777777" w:rsidR="00577723" w:rsidRPr="00577723" w:rsidRDefault="00577723" w:rsidP="00577723">
            <w:pPr>
              <w:rPr>
                <w:rFonts w:cs="Arial"/>
              </w:rPr>
            </w:pPr>
            <w:r w:rsidRPr="00577723">
              <w:rPr>
                <w:rFonts w:cs="Arial"/>
              </w:rPr>
              <w:t xml:space="preserve">Office space: </w:t>
            </w:r>
          </w:p>
          <w:p w14:paraId="77DA70A4" w14:textId="77777777" w:rsidR="00577723" w:rsidRPr="00577723" w:rsidRDefault="00577723" w:rsidP="00577723">
            <w:pPr>
              <w:rPr>
                <w:rFonts w:cs="Arial"/>
              </w:rPr>
            </w:pPr>
            <w:r w:rsidRPr="00577723">
              <w:rPr>
                <w:rFonts w:cs="Arial"/>
              </w:rPr>
              <w:t xml:space="preserve">Currently 5 partner NGOs beside BRAC supporting implementations in rural </w:t>
            </w:r>
            <w:proofErr w:type="spellStart"/>
            <w:r w:rsidRPr="00577723">
              <w:rPr>
                <w:rFonts w:cs="Arial"/>
              </w:rPr>
              <w:t>upazilas</w:t>
            </w:r>
            <w:proofErr w:type="spellEnd"/>
            <w:r w:rsidRPr="00577723">
              <w:rPr>
                <w:rFonts w:cs="Arial"/>
              </w:rPr>
              <w:t xml:space="preserve">. These NGO partners are utilizing office space at </w:t>
            </w:r>
            <w:proofErr w:type="spellStart"/>
            <w:r w:rsidRPr="00577723">
              <w:rPr>
                <w:rFonts w:cs="Arial"/>
              </w:rPr>
              <w:t>Upazila</w:t>
            </w:r>
            <w:proofErr w:type="spellEnd"/>
            <w:r w:rsidRPr="00577723">
              <w:rPr>
                <w:rFonts w:cs="Arial"/>
              </w:rPr>
              <w:t xml:space="preserve"> Health Complex (UHC) and supporting implementation of NTP activities under the guidance of UH&amp;FPO, MO-Disease control and TB &amp; Leprosy Control Assistant (LTCA). Thus NTP recommended BRAC to utilize office space at UHCs and support implementation from there using government infrastructures and government staff. Therefore BRAC does not need to rent office spaces and pay utilities by the global fund grant money. It will certainly increase the government ownership, strengthen health system for long term sustainability and improve technical supervision and quality of service.</w:t>
            </w:r>
          </w:p>
          <w:p w14:paraId="12202DD4" w14:textId="77777777" w:rsidR="00577723" w:rsidRPr="00577723" w:rsidRDefault="00577723" w:rsidP="00577723">
            <w:pPr>
              <w:rPr>
                <w:rFonts w:cs="Arial"/>
              </w:rPr>
            </w:pPr>
          </w:p>
          <w:p w14:paraId="778AE75E" w14:textId="77777777" w:rsidR="00577723" w:rsidRPr="00577723" w:rsidRDefault="00577723" w:rsidP="00577723">
            <w:pPr>
              <w:rPr>
                <w:rFonts w:cs="Arial"/>
              </w:rPr>
            </w:pPr>
            <w:r w:rsidRPr="00577723">
              <w:rPr>
                <w:rFonts w:cs="Arial"/>
              </w:rPr>
              <w:t xml:space="preserve">Recording and reporting: </w:t>
            </w:r>
          </w:p>
          <w:p w14:paraId="26DAFAAF" w14:textId="67461F60" w:rsidR="00577723" w:rsidRDefault="00577723" w:rsidP="00577723">
            <w:pPr>
              <w:rPr>
                <w:rFonts w:cs="Arial"/>
              </w:rPr>
            </w:pPr>
            <w:r w:rsidRPr="00577723">
              <w:rPr>
                <w:rFonts w:cs="Arial"/>
              </w:rPr>
              <w:t xml:space="preserve">Currently BRAC maintains a parallel and separate recording and reporting system through their </w:t>
            </w:r>
            <w:proofErr w:type="spellStart"/>
            <w:r w:rsidRPr="00577723">
              <w:rPr>
                <w:rFonts w:cs="Arial"/>
              </w:rPr>
              <w:t>Upazila</w:t>
            </w:r>
            <w:proofErr w:type="spellEnd"/>
            <w:r w:rsidRPr="00577723">
              <w:rPr>
                <w:rFonts w:cs="Arial"/>
              </w:rPr>
              <w:t xml:space="preserve"> level managers and staff. These activities are already done at </w:t>
            </w:r>
            <w:proofErr w:type="spellStart"/>
            <w:r w:rsidRPr="00577723">
              <w:rPr>
                <w:rFonts w:cs="Arial"/>
              </w:rPr>
              <w:t>upazila</w:t>
            </w:r>
            <w:proofErr w:type="spellEnd"/>
            <w:r w:rsidRPr="00577723">
              <w:rPr>
                <w:rFonts w:cs="Arial"/>
              </w:rPr>
              <w:t xml:space="preserve"> health complex level by TLCA. Thus BRAC does not need additional managerial staff as government TLCA will continue to do and no separate/parallel recording and reporting system is required. This will save global fund grant money for management costs of BRAC. On the other hand UH&amp;FPO, MO-DC and TLCA will supervise and implementation activities routinely. </w:t>
            </w:r>
          </w:p>
          <w:p w14:paraId="082EA016" w14:textId="77777777" w:rsidR="00577723" w:rsidRPr="00577723" w:rsidRDefault="00577723" w:rsidP="00577723">
            <w:pPr>
              <w:rPr>
                <w:rFonts w:cs="Arial"/>
              </w:rPr>
            </w:pPr>
          </w:p>
          <w:p w14:paraId="39CFD707" w14:textId="77777777" w:rsidR="00577723" w:rsidRPr="00577723" w:rsidRDefault="00577723" w:rsidP="00577723">
            <w:pPr>
              <w:rPr>
                <w:rFonts w:cs="Arial"/>
              </w:rPr>
            </w:pPr>
            <w:r w:rsidRPr="00577723">
              <w:rPr>
                <w:rFonts w:cs="Arial"/>
              </w:rPr>
              <w:t xml:space="preserve">Storage: </w:t>
            </w:r>
          </w:p>
          <w:p w14:paraId="7578FE02" w14:textId="7FC02948" w:rsidR="00577723" w:rsidRDefault="00577723" w:rsidP="00577723">
            <w:pPr>
              <w:rPr>
                <w:rFonts w:cs="Arial"/>
              </w:rPr>
            </w:pPr>
            <w:r w:rsidRPr="00577723">
              <w:rPr>
                <w:rFonts w:cs="Arial"/>
              </w:rPr>
              <w:lastRenderedPageBreak/>
              <w:t xml:space="preserve">Currently BRAC is taking all drugs and logistics from UHC and keeping their rented stores and distribute to </w:t>
            </w:r>
            <w:proofErr w:type="spellStart"/>
            <w:r w:rsidRPr="00577723">
              <w:rPr>
                <w:rFonts w:cs="Arial"/>
              </w:rPr>
              <w:t>Shastho</w:t>
            </w:r>
            <w:proofErr w:type="spellEnd"/>
            <w:r w:rsidRPr="00577723">
              <w:rPr>
                <w:rFonts w:cs="Arial"/>
              </w:rPr>
              <w:t xml:space="preserve"> </w:t>
            </w:r>
            <w:proofErr w:type="spellStart"/>
            <w:r w:rsidRPr="00577723">
              <w:rPr>
                <w:rFonts w:cs="Arial"/>
              </w:rPr>
              <w:t>Shebikas</w:t>
            </w:r>
            <w:proofErr w:type="spellEnd"/>
            <w:r w:rsidRPr="00577723">
              <w:rPr>
                <w:rFonts w:cs="Arial"/>
              </w:rPr>
              <w:t xml:space="preserve">/DOTS providers and sputum microscopy centres. We recommend BRAC to use government stores at UHC and distribute from there to the </w:t>
            </w:r>
            <w:proofErr w:type="spellStart"/>
            <w:r w:rsidRPr="00577723">
              <w:rPr>
                <w:rFonts w:cs="Arial"/>
              </w:rPr>
              <w:t>shasthho</w:t>
            </w:r>
            <w:proofErr w:type="spellEnd"/>
            <w:r w:rsidRPr="00577723">
              <w:rPr>
                <w:rFonts w:cs="Arial"/>
              </w:rPr>
              <w:t xml:space="preserve"> </w:t>
            </w:r>
            <w:proofErr w:type="spellStart"/>
            <w:r w:rsidRPr="00577723">
              <w:rPr>
                <w:rFonts w:cs="Arial"/>
              </w:rPr>
              <w:t>shebikas</w:t>
            </w:r>
            <w:proofErr w:type="spellEnd"/>
            <w:r w:rsidRPr="00577723">
              <w:rPr>
                <w:rFonts w:cs="Arial"/>
              </w:rPr>
              <w:t xml:space="preserve"> and DOTS provides, and microscopy sites where needed. These </w:t>
            </w:r>
            <w:proofErr w:type="spellStart"/>
            <w:r w:rsidRPr="00577723">
              <w:rPr>
                <w:rFonts w:cs="Arial"/>
              </w:rPr>
              <w:t>upazila</w:t>
            </w:r>
            <w:proofErr w:type="spellEnd"/>
            <w:r w:rsidRPr="00577723">
              <w:rPr>
                <w:rFonts w:cs="Arial"/>
              </w:rPr>
              <w:t xml:space="preserve"> stores are currently managed by the government UHC staff and will continue to do it. Thus BRAC does not need to rented warehouses and storage systems through their staff. This will save the global fund grant money for rent, utilities and staff costs of BRAC. </w:t>
            </w:r>
          </w:p>
          <w:p w14:paraId="09FC9F54" w14:textId="77777777" w:rsidR="00577723" w:rsidRPr="00577723" w:rsidRDefault="00577723" w:rsidP="00577723">
            <w:pPr>
              <w:rPr>
                <w:rFonts w:cs="Arial"/>
              </w:rPr>
            </w:pPr>
          </w:p>
          <w:p w14:paraId="3DB58418" w14:textId="77777777" w:rsidR="00577723" w:rsidRPr="00577723" w:rsidRDefault="00577723" w:rsidP="00577723">
            <w:pPr>
              <w:rPr>
                <w:rFonts w:cs="Arial"/>
              </w:rPr>
            </w:pPr>
            <w:r w:rsidRPr="00577723">
              <w:rPr>
                <w:rFonts w:cs="Arial"/>
              </w:rPr>
              <w:t>Laboratory:</w:t>
            </w:r>
          </w:p>
          <w:p w14:paraId="77995FD0" w14:textId="77777777" w:rsidR="00577723" w:rsidRPr="00577723" w:rsidRDefault="00577723" w:rsidP="00577723">
            <w:pPr>
              <w:rPr>
                <w:rFonts w:cs="Arial"/>
              </w:rPr>
            </w:pPr>
            <w:r w:rsidRPr="00577723">
              <w:rPr>
                <w:rFonts w:cs="Arial"/>
              </w:rPr>
              <w:t xml:space="preserve">Currently BRAC provided HR support in peripheral laboratories, few health complexes where Gene </w:t>
            </w:r>
            <w:proofErr w:type="spellStart"/>
            <w:r w:rsidRPr="00577723">
              <w:rPr>
                <w:rFonts w:cs="Arial"/>
              </w:rPr>
              <w:t>Xperts</w:t>
            </w:r>
            <w:proofErr w:type="spellEnd"/>
            <w:r w:rsidRPr="00577723">
              <w:rPr>
                <w:rFonts w:cs="Arial"/>
              </w:rPr>
              <w:t xml:space="preserve"> placed, urban labs and medical College labs. NTP plans to gradual expansion of gene expert facilities in large part of health facilities in next 3-4 years in phases throughout the country. </w:t>
            </w:r>
          </w:p>
          <w:p w14:paraId="08ED6BFF" w14:textId="77777777" w:rsidR="00577723" w:rsidRPr="00577723" w:rsidRDefault="00577723" w:rsidP="00577723">
            <w:pPr>
              <w:rPr>
                <w:rFonts w:cs="Arial"/>
              </w:rPr>
            </w:pPr>
            <w:r w:rsidRPr="00577723">
              <w:rPr>
                <w:rFonts w:cs="Arial"/>
              </w:rPr>
              <w:t xml:space="preserve">Thus NTP recommends BRAC to merge rural microscopy laboratory when/where gene </w:t>
            </w:r>
            <w:proofErr w:type="spellStart"/>
            <w:r w:rsidRPr="00577723">
              <w:rPr>
                <w:rFonts w:cs="Arial"/>
              </w:rPr>
              <w:t>Xpert</w:t>
            </w:r>
            <w:proofErr w:type="spellEnd"/>
            <w:r w:rsidRPr="00577723">
              <w:rPr>
                <w:rFonts w:cs="Arial"/>
              </w:rPr>
              <w:t xml:space="preserve"> facility established at UHC/ district hospital. The BRAC lab technician will move to gene </w:t>
            </w:r>
            <w:proofErr w:type="spellStart"/>
            <w:r w:rsidRPr="00577723">
              <w:rPr>
                <w:rFonts w:cs="Arial"/>
              </w:rPr>
              <w:t>Xpert</w:t>
            </w:r>
            <w:proofErr w:type="spellEnd"/>
            <w:r w:rsidRPr="00577723">
              <w:rPr>
                <w:rFonts w:cs="Arial"/>
              </w:rPr>
              <w:t xml:space="preserve"> site for full functioning and support NTP to meet the gap of technicians at UHC if needed. In many places, government health complex provides medical technologists for gene </w:t>
            </w:r>
            <w:proofErr w:type="spellStart"/>
            <w:r w:rsidRPr="00577723">
              <w:rPr>
                <w:rFonts w:cs="Arial"/>
              </w:rPr>
              <w:t>Xpert</w:t>
            </w:r>
            <w:proofErr w:type="spellEnd"/>
            <w:r w:rsidRPr="00577723">
              <w:rPr>
                <w:rFonts w:cs="Arial"/>
              </w:rPr>
              <w:t xml:space="preserve"> site. However, In some </w:t>
            </w:r>
            <w:proofErr w:type="spellStart"/>
            <w:r w:rsidRPr="00577723">
              <w:rPr>
                <w:rFonts w:cs="Arial"/>
              </w:rPr>
              <w:t>upazila</w:t>
            </w:r>
            <w:proofErr w:type="spellEnd"/>
            <w:r w:rsidRPr="00577723">
              <w:rPr>
                <w:rFonts w:cs="Arial"/>
              </w:rPr>
              <w:t xml:space="preserve">, more than one peripheral lab is there. This lab will continue if one Gene </w:t>
            </w:r>
            <w:proofErr w:type="spellStart"/>
            <w:r w:rsidRPr="00577723">
              <w:rPr>
                <w:rFonts w:cs="Arial"/>
              </w:rPr>
              <w:t>Xpert</w:t>
            </w:r>
            <w:proofErr w:type="spellEnd"/>
            <w:r w:rsidRPr="00577723">
              <w:rPr>
                <w:rFonts w:cs="Arial"/>
              </w:rPr>
              <w:t xml:space="preserve"> could not cover until another gene expert is supplied there under the guidance of NTP. </w:t>
            </w:r>
          </w:p>
          <w:p w14:paraId="1754C226" w14:textId="77777777" w:rsidR="00577723" w:rsidRPr="00577723" w:rsidRDefault="00577723" w:rsidP="00577723">
            <w:pPr>
              <w:rPr>
                <w:rFonts w:cs="Arial"/>
              </w:rPr>
            </w:pPr>
            <w:r w:rsidRPr="00577723">
              <w:rPr>
                <w:rFonts w:cs="Arial"/>
              </w:rPr>
              <w:t xml:space="preserve">In medical college, NTP recommends to merge the sputum microscopy with Gene </w:t>
            </w:r>
            <w:proofErr w:type="spellStart"/>
            <w:r w:rsidRPr="00577723">
              <w:rPr>
                <w:rFonts w:cs="Arial"/>
              </w:rPr>
              <w:t>Xpert</w:t>
            </w:r>
            <w:proofErr w:type="spellEnd"/>
            <w:r w:rsidRPr="00577723">
              <w:rPr>
                <w:rFonts w:cs="Arial"/>
              </w:rPr>
              <w:t xml:space="preserve"> and place BRAC technicians to Gene </w:t>
            </w:r>
            <w:proofErr w:type="spellStart"/>
            <w:r w:rsidRPr="00577723">
              <w:rPr>
                <w:rFonts w:cs="Arial"/>
              </w:rPr>
              <w:t>Xpert</w:t>
            </w:r>
            <w:proofErr w:type="spellEnd"/>
            <w:r w:rsidRPr="00577723">
              <w:rPr>
                <w:rFonts w:cs="Arial"/>
              </w:rPr>
              <w:t xml:space="preserve"> site where needed as many Medical Colleges are already providing HR for Gene </w:t>
            </w:r>
            <w:proofErr w:type="spellStart"/>
            <w:r w:rsidRPr="00577723">
              <w:rPr>
                <w:rFonts w:cs="Arial"/>
              </w:rPr>
              <w:t>Xpert</w:t>
            </w:r>
            <w:proofErr w:type="spellEnd"/>
            <w:r w:rsidRPr="00577723">
              <w:rPr>
                <w:rFonts w:cs="Arial"/>
              </w:rPr>
              <w:t xml:space="preserve">. This will help the smooth transition from microscopy to Gene </w:t>
            </w:r>
            <w:proofErr w:type="spellStart"/>
            <w:r w:rsidRPr="00577723">
              <w:rPr>
                <w:rFonts w:cs="Arial"/>
              </w:rPr>
              <w:t>Xpert</w:t>
            </w:r>
            <w:proofErr w:type="spellEnd"/>
            <w:r w:rsidRPr="00577723">
              <w:rPr>
                <w:rFonts w:cs="Arial"/>
              </w:rPr>
              <w:t xml:space="preserve"> at higher facility. </w:t>
            </w:r>
          </w:p>
          <w:p w14:paraId="29A8DB3C" w14:textId="77777777" w:rsidR="00577723" w:rsidRPr="00577723" w:rsidRDefault="00577723" w:rsidP="00577723">
            <w:pPr>
              <w:rPr>
                <w:rFonts w:cs="Arial"/>
              </w:rPr>
            </w:pPr>
            <w:r w:rsidRPr="00577723">
              <w:rPr>
                <w:rFonts w:cs="Arial"/>
              </w:rPr>
              <w:t xml:space="preserve">In urban level, NTP recommends to merge microscopy lab with nearest Gene </w:t>
            </w:r>
            <w:proofErr w:type="spellStart"/>
            <w:r w:rsidRPr="00577723">
              <w:rPr>
                <w:rFonts w:cs="Arial"/>
              </w:rPr>
              <w:t>Xpert</w:t>
            </w:r>
            <w:proofErr w:type="spellEnd"/>
            <w:r w:rsidRPr="00577723">
              <w:rPr>
                <w:rFonts w:cs="Arial"/>
              </w:rPr>
              <w:t xml:space="preserve"> sites under PPM, medical colleges, DOTS corners etc and ensure full utilization of Gene </w:t>
            </w:r>
            <w:proofErr w:type="spellStart"/>
            <w:r w:rsidRPr="00577723">
              <w:rPr>
                <w:rFonts w:cs="Arial"/>
              </w:rPr>
              <w:t>Xpert</w:t>
            </w:r>
            <w:proofErr w:type="spellEnd"/>
            <w:r w:rsidRPr="00577723">
              <w:rPr>
                <w:rFonts w:cs="Arial"/>
              </w:rPr>
              <w:t xml:space="preserve"> sites. If it is not at all possible, those lab can continue as </w:t>
            </w:r>
            <w:proofErr w:type="spellStart"/>
            <w:r w:rsidRPr="00577723">
              <w:rPr>
                <w:rFonts w:cs="Arial"/>
              </w:rPr>
              <w:t>microcopy</w:t>
            </w:r>
            <w:proofErr w:type="spellEnd"/>
            <w:r w:rsidRPr="00577723">
              <w:rPr>
                <w:rFonts w:cs="Arial"/>
              </w:rPr>
              <w:t xml:space="preserve"> service until placing additional Gene </w:t>
            </w:r>
            <w:proofErr w:type="spellStart"/>
            <w:r w:rsidRPr="00577723">
              <w:rPr>
                <w:rFonts w:cs="Arial"/>
              </w:rPr>
              <w:t>Xpert</w:t>
            </w:r>
            <w:proofErr w:type="spellEnd"/>
            <w:r w:rsidRPr="00577723">
              <w:rPr>
                <w:rFonts w:cs="Arial"/>
              </w:rPr>
              <w:t xml:space="preserve"> there under the guidance of NTP. </w:t>
            </w:r>
          </w:p>
          <w:p w14:paraId="4DEF65D0" w14:textId="3B7909D8" w:rsidR="00577723" w:rsidRDefault="00577723" w:rsidP="00577723">
            <w:pPr>
              <w:rPr>
                <w:rFonts w:cs="Arial"/>
              </w:rPr>
            </w:pPr>
            <w:r w:rsidRPr="00577723">
              <w:rPr>
                <w:rFonts w:cs="Arial"/>
              </w:rPr>
              <w:t xml:space="preserve">This approach will reduce the HR requirements, improve the functionality and ensure optimum use of Gene </w:t>
            </w:r>
            <w:proofErr w:type="spellStart"/>
            <w:r w:rsidRPr="00577723">
              <w:rPr>
                <w:rFonts w:cs="Arial"/>
              </w:rPr>
              <w:t>Xperts</w:t>
            </w:r>
            <w:proofErr w:type="spellEnd"/>
            <w:r w:rsidRPr="00577723">
              <w:rPr>
                <w:rFonts w:cs="Arial"/>
              </w:rPr>
              <w:t xml:space="preserve"> and smooth transition </w:t>
            </w:r>
            <w:proofErr w:type="spellStart"/>
            <w:r w:rsidRPr="00577723">
              <w:rPr>
                <w:rFonts w:cs="Arial"/>
              </w:rPr>
              <w:t>form</w:t>
            </w:r>
            <w:proofErr w:type="spellEnd"/>
            <w:r w:rsidRPr="00577723">
              <w:rPr>
                <w:rFonts w:cs="Arial"/>
              </w:rPr>
              <w:t xml:space="preserve"> microscopy as primary diagnostic tool to Gene </w:t>
            </w:r>
            <w:proofErr w:type="spellStart"/>
            <w:r w:rsidRPr="00577723">
              <w:rPr>
                <w:rFonts w:cs="Arial"/>
              </w:rPr>
              <w:t>Xpert</w:t>
            </w:r>
            <w:proofErr w:type="spellEnd"/>
            <w:r w:rsidRPr="00577723">
              <w:rPr>
                <w:rFonts w:cs="Arial"/>
              </w:rPr>
              <w:t xml:space="preserve"> as the approve new algorithm. </w:t>
            </w:r>
          </w:p>
          <w:p w14:paraId="2D7B8361" w14:textId="77777777" w:rsidR="00577723" w:rsidRPr="00577723" w:rsidRDefault="00577723" w:rsidP="00577723">
            <w:pPr>
              <w:rPr>
                <w:rFonts w:cs="Arial"/>
              </w:rPr>
            </w:pPr>
          </w:p>
          <w:p w14:paraId="7421AE4E" w14:textId="77777777" w:rsidR="00577723" w:rsidRPr="00577723" w:rsidRDefault="00577723" w:rsidP="00577723">
            <w:pPr>
              <w:rPr>
                <w:rFonts w:cs="Arial"/>
              </w:rPr>
            </w:pPr>
            <w:r w:rsidRPr="00577723">
              <w:rPr>
                <w:rFonts w:cs="Arial"/>
              </w:rPr>
              <w:t>Active case finding:</w:t>
            </w:r>
          </w:p>
          <w:p w14:paraId="4B28ED0F" w14:textId="77777777" w:rsidR="00577723" w:rsidRPr="00577723" w:rsidRDefault="00577723" w:rsidP="00577723">
            <w:pPr>
              <w:rPr>
                <w:rFonts w:cs="Arial"/>
              </w:rPr>
            </w:pPr>
            <w:r w:rsidRPr="00577723">
              <w:rPr>
                <w:rFonts w:cs="Arial"/>
              </w:rPr>
              <w:t xml:space="preserve">NTP recommends to continue 2 BRAC field staff per </w:t>
            </w:r>
            <w:proofErr w:type="spellStart"/>
            <w:r w:rsidRPr="00577723">
              <w:rPr>
                <w:rFonts w:cs="Arial"/>
              </w:rPr>
              <w:t>upazila</w:t>
            </w:r>
            <w:proofErr w:type="spellEnd"/>
            <w:r w:rsidRPr="00577723">
              <w:rPr>
                <w:rFonts w:cs="Arial"/>
              </w:rPr>
              <w:t xml:space="preserve"> under Global Fund. They will conduct sputum campaign in remote areas as they are doing now and transport sputum samples to the Gene </w:t>
            </w:r>
            <w:proofErr w:type="spellStart"/>
            <w:r w:rsidRPr="00577723">
              <w:rPr>
                <w:rFonts w:cs="Arial"/>
              </w:rPr>
              <w:t>Xpert</w:t>
            </w:r>
            <w:proofErr w:type="spellEnd"/>
            <w:r w:rsidRPr="00577723">
              <w:rPr>
                <w:rFonts w:cs="Arial"/>
              </w:rPr>
              <w:t xml:space="preserve"> site or refer presumptive cases to lab. Beside this, BRAC </w:t>
            </w:r>
            <w:proofErr w:type="spellStart"/>
            <w:r w:rsidRPr="00577723">
              <w:rPr>
                <w:rFonts w:cs="Arial"/>
              </w:rPr>
              <w:t>Shastho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will continue to visit households and refer presumptive cases to the sputum camp or lab. BRAC field staff will supervise and keep contacts with </w:t>
            </w:r>
            <w:proofErr w:type="spellStart"/>
            <w:r w:rsidRPr="00577723">
              <w:rPr>
                <w:rFonts w:cs="Arial"/>
              </w:rPr>
              <w:t>Shastho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while they will be visiting those areas. </w:t>
            </w:r>
          </w:p>
          <w:p w14:paraId="7C1B22B3" w14:textId="766BE6E5" w:rsidR="00577723" w:rsidRDefault="00577723" w:rsidP="00577723">
            <w:pPr>
              <w:rPr>
                <w:rFonts w:cs="Arial"/>
              </w:rPr>
            </w:pPr>
            <w:r w:rsidRPr="00577723">
              <w:rPr>
                <w:rFonts w:cs="Arial"/>
              </w:rPr>
              <w:t xml:space="preserve">As TB service will more integrate with government services, government field staff and community clinic staff will also identify TB presumptive and refer to health complex. This will increase more ownership and accountability of the government. This HR structure is also similar with other 5 NGOs are working in rural areas under Global Fund grant as BRAC SR. </w:t>
            </w:r>
          </w:p>
          <w:p w14:paraId="2485C40C" w14:textId="77777777" w:rsidR="00577723" w:rsidRPr="00577723" w:rsidRDefault="00577723" w:rsidP="00577723">
            <w:pPr>
              <w:rPr>
                <w:rFonts w:cs="Arial"/>
              </w:rPr>
            </w:pPr>
          </w:p>
          <w:p w14:paraId="380F2D75" w14:textId="77777777" w:rsidR="00577723" w:rsidRPr="00577723" w:rsidRDefault="00577723" w:rsidP="00577723">
            <w:pPr>
              <w:rPr>
                <w:rFonts w:cs="Arial"/>
              </w:rPr>
            </w:pPr>
            <w:r w:rsidRPr="00577723">
              <w:rPr>
                <w:rFonts w:cs="Arial"/>
              </w:rPr>
              <w:t xml:space="preserve">DOT: </w:t>
            </w:r>
          </w:p>
          <w:p w14:paraId="394FA1DE" w14:textId="3ABEC6B8" w:rsidR="00577723" w:rsidRDefault="00577723" w:rsidP="00577723">
            <w:pPr>
              <w:rPr>
                <w:rFonts w:cs="Arial"/>
              </w:rPr>
            </w:pPr>
            <w:r w:rsidRPr="00577723">
              <w:rPr>
                <w:rFonts w:cs="Arial"/>
              </w:rPr>
              <w:t xml:space="preserve">In BRAC supported areas, </w:t>
            </w:r>
            <w:proofErr w:type="spellStart"/>
            <w:r w:rsidRPr="00577723">
              <w:rPr>
                <w:rFonts w:cs="Arial"/>
              </w:rPr>
              <w:t>Shastho</w:t>
            </w:r>
            <w:proofErr w:type="spellEnd"/>
            <w:r w:rsidRPr="00577723">
              <w:rPr>
                <w:rFonts w:cs="Arial"/>
              </w:rPr>
              <w:t xml:space="preserve"> </w:t>
            </w:r>
            <w:proofErr w:type="spellStart"/>
            <w:r w:rsidRPr="00577723">
              <w:rPr>
                <w:rFonts w:cs="Arial"/>
              </w:rPr>
              <w:t>Shebikas</w:t>
            </w:r>
            <w:proofErr w:type="spellEnd"/>
            <w:r w:rsidRPr="00577723">
              <w:rPr>
                <w:rFonts w:cs="Arial"/>
              </w:rPr>
              <w:t xml:space="preserve"> and DOT providers (where no </w:t>
            </w:r>
            <w:proofErr w:type="spellStart"/>
            <w:r w:rsidRPr="00577723">
              <w:rPr>
                <w:rFonts w:cs="Arial"/>
              </w:rPr>
              <w:t>shastho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will continue the work. NTP recommends to continue all incentives and refreshes trainings and keep resources for that. Refreshes training will be at government health </w:t>
            </w:r>
            <w:proofErr w:type="spellStart"/>
            <w:r w:rsidRPr="00577723">
              <w:rPr>
                <w:rFonts w:cs="Arial"/>
              </w:rPr>
              <w:t>centers</w:t>
            </w:r>
            <w:proofErr w:type="spellEnd"/>
            <w:r w:rsidRPr="00577723">
              <w:rPr>
                <w:rFonts w:cs="Arial"/>
              </w:rPr>
              <w:t xml:space="preserve"> or health complex based on the distance of </w:t>
            </w:r>
            <w:proofErr w:type="spellStart"/>
            <w:r w:rsidRPr="00577723">
              <w:rPr>
                <w:rFonts w:cs="Arial"/>
              </w:rPr>
              <w:t>Shastho</w:t>
            </w:r>
            <w:proofErr w:type="spellEnd"/>
            <w:r w:rsidRPr="00577723">
              <w:rPr>
                <w:rFonts w:cs="Arial"/>
              </w:rPr>
              <w:t xml:space="preserve"> </w:t>
            </w:r>
            <w:proofErr w:type="spellStart"/>
            <w:r w:rsidRPr="00577723">
              <w:rPr>
                <w:rFonts w:cs="Arial"/>
              </w:rPr>
              <w:t>Shebika’s</w:t>
            </w:r>
            <w:proofErr w:type="spellEnd"/>
            <w:r w:rsidRPr="00577723">
              <w:rPr>
                <w:rFonts w:cs="Arial"/>
              </w:rPr>
              <w:t xml:space="preserve"> home. They will be provided monthly medicines as now for their patients. Government field workers (Health Assistants) will supervise their work as they are from the same community. Beside this, 2 BRAC staff will arrange refreshes trainings, provide medicines and do a periodic supervision to them. </w:t>
            </w:r>
          </w:p>
          <w:p w14:paraId="43DA49D3" w14:textId="77777777" w:rsidR="00577723" w:rsidRPr="00577723" w:rsidRDefault="00577723" w:rsidP="00577723">
            <w:pPr>
              <w:rPr>
                <w:rFonts w:cs="Arial"/>
              </w:rPr>
            </w:pPr>
          </w:p>
          <w:p w14:paraId="3F019C9D" w14:textId="77777777" w:rsidR="00577723" w:rsidRPr="00577723" w:rsidRDefault="00577723" w:rsidP="00577723">
            <w:pPr>
              <w:rPr>
                <w:rFonts w:cs="Arial"/>
              </w:rPr>
            </w:pPr>
            <w:r w:rsidRPr="00577723">
              <w:rPr>
                <w:rFonts w:cs="Arial"/>
              </w:rPr>
              <w:t xml:space="preserve">Treatment: </w:t>
            </w:r>
          </w:p>
          <w:p w14:paraId="0885D447" w14:textId="3BE1FA25" w:rsidR="00777A0A" w:rsidRDefault="00577723" w:rsidP="00577723">
            <w:pPr>
              <w:rPr>
                <w:rFonts w:cs="Arial"/>
              </w:rPr>
            </w:pPr>
            <w:r w:rsidRPr="00577723">
              <w:rPr>
                <w:rFonts w:cs="Arial"/>
              </w:rPr>
              <w:t xml:space="preserve">After diagnosis, government doctor at health complex will initiate treatment and TLCA will complete the registration process. Then BRAC field staff will link the patient with </w:t>
            </w:r>
            <w:proofErr w:type="spellStart"/>
            <w:r w:rsidRPr="00577723">
              <w:rPr>
                <w:rFonts w:cs="Arial"/>
              </w:rPr>
              <w:t>Shastho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or identify a DOT provides where there is no </w:t>
            </w:r>
            <w:proofErr w:type="spellStart"/>
            <w:r w:rsidRPr="00577723">
              <w:rPr>
                <w:rFonts w:cs="Arial"/>
              </w:rPr>
              <w:t>Shastho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Now a </w:t>
            </w:r>
            <w:proofErr w:type="gramStart"/>
            <w:r w:rsidRPr="00577723">
              <w:rPr>
                <w:rFonts w:cs="Arial"/>
              </w:rPr>
              <w:t>days</w:t>
            </w:r>
            <w:proofErr w:type="gramEnd"/>
            <w:r w:rsidRPr="00577723">
              <w:rPr>
                <w:rFonts w:cs="Arial"/>
              </w:rPr>
              <w:t xml:space="preserve"> number of </w:t>
            </w:r>
            <w:proofErr w:type="spellStart"/>
            <w:r w:rsidRPr="00577723">
              <w:rPr>
                <w:rFonts w:cs="Arial"/>
              </w:rPr>
              <w:t>Shahtho</w:t>
            </w:r>
            <w:proofErr w:type="spellEnd"/>
            <w:r w:rsidRPr="00577723">
              <w:rPr>
                <w:rFonts w:cs="Arial"/>
              </w:rPr>
              <w:t xml:space="preserve"> </w:t>
            </w:r>
            <w:proofErr w:type="spellStart"/>
            <w:r w:rsidRPr="00577723">
              <w:rPr>
                <w:rFonts w:cs="Arial"/>
              </w:rPr>
              <w:t>Shebika</w:t>
            </w:r>
            <w:proofErr w:type="spellEnd"/>
            <w:r w:rsidRPr="00577723">
              <w:rPr>
                <w:rFonts w:cs="Arial"/>
              </w:rPr>
              <w:t xml:space="preserve"> is decreasing and BRAC assign a DOT provided nearest to patient house.</w:t>
            </w:r>
          </w:p>
          <w:p w14:paraId="112D62B1" w14:textId="77777777" w:rsidR="00777A0A" w:rsidRDefault="00777A0A" w:rsidP="0057108F">
            <w:pPr>
              <w:rPr>
                <w:rFonts w:cs="Arial"/>
              </w:rPr>
            </w:pPr>
          </w:p>
        </w:tc>
      </w:tr>
    </w:tbl>
    <w:p w14:paraId="38F5BC6F" w14:textId="5ED5D034" w:rsidR="00412A61" w:rsidRPr="00412A61" w:rsidRDefault="00777A0A" w:rsidP="0057108F">
      <w:pPr>
        <w:pStyle w:val="paragraph"/>
        <w:spacing w:before="0" w:beforeAutospacing="0" w:after="0" w:afterAutospacing="0"/>
        <w:textAlignment w:val="baseline"/>
        <w:rPr>
          <w:rStyle w:val="normaltextrun"/>
          <w:rFonts w:ascii="Arial" w:hAnsi="Arial" w:cs="Arial"/>
          <w:sz w:val="22"/>
          <w:szCs w:val="22"/>
        </w:rPr>
      </w:pPr>
      <w:r>
        <w:rPr>
          <w:rStyle w:val="eop"/>
          <w:rFonts w:ascii="Arial" w:hAnsi="Arial" w:cs="Arial"/>
          <w:sz w:val="22"/>
          <w:szCs w:val="22"/>
        </w:rPr>
        <w:lastRenderedPageBreak/>
        <w:t> </w:t>
      </w:r>
    </w:p>
    <w:p w14:paraId="422BAAEE" w14:textId="0756F4FD" w:rsidR="00920D32" w:rsidRPr="009B600B" w:rsidRDefault="00920D32" w:rsidP="00141FFC">
      <w:pPr>
        <w:pStyle w:val="Heading2"/>
        <w:numPr>
          <w:ilvl w:val="1"/>
          <w:numId w:val="7"/>
        </w:numPr>
        <w:spacing w:after="0"/>
      </w:pPr>
      <w:bookmarkStart w:id="25" w:name="_Toc10213033"/>
      <w:bookmarkStart w:id="26" w:name="_Toc12005594"/>
      <w:bookmarkStart w:id="27" w:name="_Hlk10196102"/>
      <w:bookmarkEnd w:id="24"/>
      <w:r>
        <w:t xml:space="preserve">Matching Funds </w:t>
      </w:r>
      <w:bookmarkEnd w:id="25"/>
      <w:bookmarkEnd w:id="26"/>
      <w:r w:rsidR="00F26815">
        <w:t>(if applicable)</w:t>
      </w:r>
    </w:p>
    <w:p w14:paraId="2B204B1F" w14:textId="77777777" w:rsidR="00C2469E" w:rsidRDefault="00C2469E" w:rsidP="0057108F">
      <w:pPr>
        <w:spacing w:after="0" w:line="257" w:lineRule="auto"/>
        <w:rPr>
          <w:lang w:val="en-GB" w:eastAsia="en-GB"/>
        </w:rPr>
      </w:pPr>
    </w:p>
    <w:p w14:paraId="6F6BA564" w14:textId="0FB4EE22" w:rsidR="00C2469E" w:rsidRDefault="00381C57" w:rsidP="0057108F">
      <w:pPr>
        <w:spacing w:after="0" w:line="257" w:lineRule="auto"/>
        <w:rPr>
          <w:lang w:val="en-GB" w:eastAsia="en-GB"/>
        </w:rPr>
      </w:pPr>
      <w:r>
        <w:rPr>
          <w:lang w:val="en-GB" w:eastAsia="en-GB"/>
        </w:rPr>
        <w:t>This question should only be answered by applicants with designated matching funds, as indicated in the allocation letter.</w:t>
      </w:r>
    </w:p>
    <w:p w14:paraId="62F67954" w14:textId="7541912F" w:rsidR="00381C57" w:rsidRDefault="00381C57" w:rsidP="0057108F">
      <w:pPr>
        <w:spacing w:after="0" w:line="257" w:lineRule="auto"/>
        <w:rPr>
          <w:lang w:val="en-GB" w:eastAsia="en-GB"/>
        </w:rPr>
      </w:pPr>
      <w:r>
        <w:rPr>
          <w:lang w:val="en-GB" w:eastAsia="en-GB"/>
        </w:rPr>
        <w:lastRenderedPageBreak/>
        <w:t xml:space="preserve"> </w:t>
      </w:r>
    </w:p>
    <w:p w14:paraId="6E65FAD1" w14:textId="76EE6291" w:rsidR="008C6C6A" w:rsidRDefault="00381C57" w:rsidP="0057108F">
      <w:pPr>
        <w:spacing w:after="0" w:line="257" w:lineRule="auto"/>
        <w:rPr>
          <w:rFonts w:cs="Arial"/>
          <w:bCs/>
        </w:rPr>
      </w:pPr>
      <w:r>
        <w:rPr>
          <w:lang w:val="en-GB" w:eastAsia="en-GB"/>
        </w:rPr>
        <w:t>D</w:t>
      </w:r>
      <w:r w:rsidR="00D668D3">
        <w:rPr>
          <w:lang w:val="en-GB" w:eastAsia="en-GB"/>
        </w:rPr>
        <w:t xml:space="preserve">escribe how </w:t>
      </w:r>
      <w:r w:rsidR="008C6C6A" w:rsidRPr="00920D32">
        <w:rPr>
          <w:lang w:val="en-GB" w:eastAsia="en-GB"/>
        </w:rPr>
        <w:t xml:space="preserve">the </w:t>
      </w:r>
      <w:r w:rsidR="008C6C6A" w:rsidRPr="00346E26">
        <w:rPr>
          <w:b/>
          <w:lang w:val="en-GB" w:eastAsia="en-GB"/>
        </w:rPr>
        <w:t>programmatic and financia</w:t>
      </w:r>
      <w:r w:rsidR="00D668D3" w:rsidRPr="00346E26">
        <w:rPr>
          <w:b/>
          <w:lang w:val="en-GB" w:eastAsia="en-GB"/>
        </w:rPr>
        <w:t>l conditions</w:t>
      </w:r>
      <w:r w:rsidR="00D668D3">
        <w:rPr>
          <w:lang w:val="en-GB" w:eastAsia="en-GB"/>
        </w:rPr>
        <w:t xml:space="preserve">, as outlined in the </w:t>
      </w:r>
      <w:r w:rsidR="008C6C6A" w:rsidRPr="00920D32">
        <w:rPr>
          <w:lang w:val="en-GB" w:eastAsia="en-GB"/>
        </w:rPr>
        <w:t>allocation letter</w:t>
      </w:r>
      <w:r w:rsidR="00D668D3">
        <w:rPr>
          <w:lang w:val="en-GB" w:eastAsia="en-GB"/>
        </w:rPr>
        <w:t xml:space="preserve">, have been met. </w:t>
      </w:r>
      <w:r w:rsidR="008C6C6A" w:rsidRPr="00920D32">
        <w:rPr>
          <w:rFonts w:cs="Arial"/>
          <w:bCs/>
        </w:rPr>
        <w:t xml:space="preserve"> </w:t>
      </w:r>
    </w:p>
    <w:p w14:paraId="324857CD" w14:textId="77777777" w:rsidR="00C2469E" w:rsidRPr="00920D32" w:rsidRDefault="00C2469E" w:rsidP="0057108F">
      <w:pPr>
        <w:spacing w:after="0" w:line="257" w:lineRule="auto"/>
        <w:rPr>
          <w:rFonts w:cs="Arial"/>
          <w:bCs/>
        </w:rPr>
      </w:pPr>
    </w:p>
    <w:tbl>
      <w:tblPr>
        <w:tblStyle w:val="TableGrid"/>
        <w:tblW w:w="0" w:type="auto"/>
        <w:tblLook w:val="04A0" w:firstRow="1" w:lastRow="0" w:firstColumn="1" w:lastColumn="0" w:noHBand="0" w:noVBand="1"/>
      </w:tblPr>
      <w:tblGrid>
        <w:gridCol w:w="10456"/>
      </w:tblGrid>
      <w:tr w:rsidR="004D4063" w14:paraId="6B44B6B4" w14:textId="77777777" w:rsidTr="006C5CD7">
        <w:tc>
          <w:tcPr>
            <w:tcW w:w="10790" w:type="dxa"/>
          </w:tcPr>
          <w:bookmarkEnd w:id="27"/>
          <w:p w14:paraId="490D898C" w14:textId="77777777" w:rsidR="009A759C" w:rsidRDefault="009A759C" w:rsidP="009A759C">
            <w:pPr>
              <w:rPr>
                <w:rFonts w:cs="Arial"/>
              </w:rPr>
            </w:pPr>
            <w:r>
              <w:rPr>
                <w:rFonts w:cs="Arial"/>
              </w:rPr>
              <w:t>The allocation letter specifies two conditions for the use of matching funds, both of which are met in the funding request.</w:t>
            </w:r>
          </w:p>
          <w:p w14:paraId="7A45F6AF" w14:textId="5376D921" w:rsidR="009A759C" w:rsidRDefault="009A759C" w:rsidP="009A759C">
            <w:pPr>
              <w:rPr>
                <w:rFonts w:cs="Arial"/>
              </w:rPr>
            </w:pPr>
            <w:r w:rsidRPr="009A759C">
              <w:rPr>
                <w:rFonts w:cs="Arial"/>
              </w:rPr>
              <w:t>Condition: An increase in the allocation amount designated to find additional missing people with TB, compared to the budget levels in Global Fund grants from the 2017-2019 allocation period</w:t>
            </w:r>
          </w:p>
          <w:p w14:paraId="11749B10" w14:textId="416D60A5" w:rsidR="009A759C" w:rsidRDefault="009A759C" w:rsidP="009A759C">
            <w:pPr>
              <w:rPr>
                <w:rFonts w:cs="Arial"/>
              </w:rPr>
            </w:pPr>
          </w:p>
          <w:p w14:paraId="3360205D" w14:textId="06B1A1EA" w:rsidR="009A759C" w:rsidRDefault="009A759C" w:rsidP="009A759C">
            <w:pPr>
              <w:rPr>
                <w:rFonts w:cs="Arial"/>
              </w:rPr>
            </w:pPr>
            <w:r>
              <w:rPr>
                <w:rFonts w:cs="Arial"/>
              </w:rPr>
              <w:t xml:space="preserve">The allocation amount requested for the strategic area “case </w:t>
            </w:r>
            <w:proofErr w:type="spellStart"/>
            <w:r>
              <w:rPr>
                <w:rFonts w:cs="Arial"/>
              </w:rPr>
              <w:t>detetion</w:t>
            </w:r>
            <w:proofErr w:type="spellEnd"/>
            <w:r>
              <w:rPr>
                <w:rFonts w:cs="Arial"/>
              </w:rPr>
              <w:t xml:space="preserve"> and diagnosis” in the previous funding cycle was </w:t>
            </w:r>
            <w:r w:rsidR="003964FC">
              <w:rPr>
                <w:rFonts w:cs="Arial"/>
              </w:rPr>
              <w:t>USD34.8 Million, while the requested amount for this area in the current proposal is USD 73 Million, representing a substantial increase.</w:t>
            </w:r>
          </w:p>
          <w:p w14:paraId="679D4574" w14:textId="77777777" w:rsidR="003964FC" w:rsidRPr="009A759C" w:rsidRDefault="003964FC" w:rsidP="009A759C">
            <w:pPr>
              <w:rPr>
                <w:rFonts w:cs="Arial"/>
              </w:rPr>
            </w:pPr>
          </w:p>
          <w:p w14:paraId="46143926" w14:textId="691597D9" w:rsidR="004D4063" w:rsidRDefault="009A759C" w:rsidP="009A759C">
            <w:pPr>
              <w:rPr>
                <w:rFonts w:cs="Arial"/>
              </w:rPr>
            </w:pPr>
            <w:r w:rsidRPr="009A759C">
              <w:rPr>
                <w:rFonts w:cs="Arial"/>
              </w:rPr>
              <w:t>Condition: Invest a portion of its TB allocation that is greater than or equal to the amount of available matching funds in programming for Finding Missing People with TB.</w:t>
            </w:r>
          </w:p>
          <w:p w14:paraId="10E13E66" w14:textId="77777777" w:rsidR="004D4063" w:rsidRDefault="004D4063" w:rsidP="0057108F">
            <w:pPr>
              <w:rPr>
                <w:rFonts w:cs="Arial"/>
              </w:rPr>
            </w:pPr>
          </w:p>
          <w:p w14:paraId="16EB7763" w14:textId="77777777" w:rsidR="004D4063" w:rsidRDefault="003964FC" w:rsidP="0057108F">
            <w:pPr>
              <w:rPr>
                <w:rFonts w:cs="Arial"/>
              </w:rPr>
            </w:pPr>
            <w:r w:rsidRPr="003964FC">
              <w:rPr>
                <w:rFonts w:cs="Arial"/>
              </w:rPr>
              <w:t xml:space="preserve">The allocation amount requested for the strategic area “case </w:t>
            </w:r>
            <w:proofErr w:type="spellStart"/>
            <w:r w:rsidRPr="003964FC">
              <w:rPr>
                <w:rFonts w:cs="Arial"/>
              </w:rPr>
              <w:t>detetion</w:t>
            </w:r>
            <w:proofErr w:type="spellEnd"/>
            <w:r w:rsidRPr="003964FC">
              <w:rPr>
                <w:rFonts w:cs="Arial"/>
              </w:rPr>
              <w:t xml:space="preserve"> and diagnosis” in the current proposal is USD 73 Million, substantial</w:t>
            </w:r>
            <w:r>
              <w:rPr>
                <w:rFonts w:cs="Arial"/>
              </w:rPr>
              <w:t>ly</w:t>
            </w:r>
            <w:r w:rsidRPr="003964FC">
              <w:rPr>
                <w:rFonts w:cs="Arial"/>
              </w:rPr>
              <w:t xml:space="preserve"> </w:t>
            </w:r>
            <w:r>
              <w:rPr>
                <w:rFonts w:cs="Arial"/>
              </w:rPr>
              <w:t>exceeding the USD 10 Million matching funds.</w:t>
            </w:r>
          </w:p>
          <w:p w14:paraId="2A46C82E" w14:textId="77777777" w:rsidR="002F6E47" w:rsidRDefault="002F6E47" w:rsidP="0057108F">
            <w:pPr>
              <w:rPr>
                <w:rFonts w:cs="Arial"/>
              </w:rPr>
            </w:pPr>
          </w:p>
          <w:p w14:paraId="2C99266A" w14:textId="6F3F3900" w:rsidR="002F6E47" w:rsidRPr="002F6E47" w:rsidRDefault="002F6E47" w:rsidP="002F6E47">
            <w:pPr>
              <w:rPr>
                <w:rFonts w:cs="Arial"/>
              </w:rPr>
            </w:pPr>
            <w:r>
              <w:rPr>
                <w:rFonts w:cs="Arial"/>
              </w:rPr>
              <w:t>In line with the specific requirements for the use of matching funds, t</w:t>
            </w:r>
            <w:r w:rsidRPr="002F6E47">
              <w:rPr>
                <w:rFonts w:cs="Arial"/>
              </w:rPr>
              <w:t xml:space="preserve">he focus for the </w:t>
            </w:r>
            <w:r>
              <w:rPr>
                <w:rFonts w:cs="Arial"/>
              </w:rPr>
              <w:t xml:space="preserve">matching funds </w:t>
            </w:r>
            <w:r w:rsidRPr="002F6E47">
              <w:rPr>
                <w:rFonts w:cs="Arial"/>
              </w:rPr>
              <w:t xml:space="preserve">investments was on interventions that will increase case detection levels by </w:t>
            </w:r>
            <w:r w:rsidRPr="002F6E47">
              <w:rPr>
                <w:rFonts w:cs="Arial"/>
                <w:b/>
                <w:bCs/>
              </w:rPr>
              <w:t xml:space="preserve">Finding missing TB </w:t>
            </w:r>
            <w:proofErr w:type="gramStart"/>
            <w:r w:rsidRPr="002F6E47">
              <w:rPr>
                <w:rFonts w:cs="Arial"/>
                <w:b/>
                <w:bCs/>
              </w:rPr>
              <w:t>cases(</w:t>
            </w:r>
            <w:proofErr w:type="gramEnd"/>
            <w:r w:rsidRPr="002F6E47">
              <w:rPr>
                <w:rFonts w:cs="Arial"/>
                <w:b/>
                <w:bCs/>
              </w:rPr>
              <w:t>both DS and MDR)</w:t>
            </w:r>
            <w:r w:rsidRPr="002F6E47">
              <w:rPr>
                <w:rFonts w:cs="Arial"/>
              </w:rPr>
              <w:t xml:space="preserve">. Accounting for the recommendations from the recently conducted JMM and the lessons learned described above, the following interventions were included in the </w:t>
            </w:r>
            <w:r>
              <w:rPr>
                <w:rFonts w:cs="Arial"/>
              </w:rPr>
              <w:t xml:space="preserve">matching funds </w:t>
            </w:r>
            <w:r w:rsidRPr="002F6E47">
              <w:rPr>
                <w:rFonts w:cs="Arial"/>
              </w:rPr>
              <w:t>request:</w:t>
            </w:r>
          </w:p>
          <w:p w14:paraId="22F3E13A" w14:textId="5EB7F362" w:rsidR="002F6E47" w:rsidRPr="002F6E47" w:rsidRDefault="002F6E47" w:rsidP="002F6E47">
            <w:pPr>
              <w:rPr>
                <w:rFonts w:cs="Arial"/>
              </w:rPr>
            </w:pPr>
            <w:r w:rsidRPr="002F6E47">
              <w:rPr>
                <w:rFonts w:cs="Arial"/>
              </w:rPr>
              <w:t>•</w:t>
            </w:r>
            <w:r w:rsidRPr="002F6E47">
              <w:rPr>
                <w:rFonts w:cs="Arial"/>
              </w:rPr>
              <w:tab/>
              <w:t>Introduction of a new diagnostic algorithm</w:t>
            </w:r>
          </w:p>
          <w:p w14:paraId="01144272" w14:textId="77777777" w:rsidR="002F6E47" w:rsidRPr="002F6E47" w:rsidRDefault="002F6E47" w:rsidP="002F6E47">
            <w:pPr>
              <w:rPr>
                <w:rFonts w:cs="Arial"/>
              </w:rPr>
            </w:pPr>
            <w:r w:rsidRPr="002F6E47">
              <w:rPr>
                <w:rFonts w:cs="Arial"/>
              </w:rPr>
              <w:t>•</w:t>
            </w:r>
            <w:r w:rsidRPr="002F6E47">
              <w:rPr>
                <w:rFonts w:cs="Arial"/>
              </w:rPr>
              <w:tab/>
              <w:t>Expansion of successful case-finding activities at community level</w:t>
            </w:r>
          </w:p>
          <w:p w14:paraId="699AD5CC" w14:textId="4428B8A0" w:rsidR="002F6E47" w:rsidRPr="002F6E47" w:rsidRDefault="002F6E47" w:rsidP="002F6E47">
            <w:pPr>
              <w:rPr>
                <w:rFonts w:cs="Arial"/>
              </w:rPr>
            </w:pPr>
            <w:r w:rsidRPr="002F6E47">
              <w:rPr>
                <w:rFonts w:cs="Arial"/>
              </w:rPr>
              <w:t>•</w:t>
            </w:r>
            <w:r w:rsidRPr="002F6E47">
              <w:rPr>
                <w:rFonts w:cs="Arial"/>
              </w:rPr>
              <w:tab/>
              <w:t>Design and implementation of activities to increase case finding among specific high-risk areas or population groups, specifically urban areas and male populations</w:t>
            </w:r>
          </w:p>
          <w:p w14:paraId="7408D7D8" w14:textId="77777777" w:rsidR="002F6E47" w:rsidRPr="002F6E47" w:rsidRDefault="002F6E47" w:rsidP="002F6E47">
            <w:pPr>
              <w:rPr>
                <w:rFonts w:cs="Arial"/>
              </w:rPr>
            </w:pPr>
            <w:r w:rsidRPr="002F6E47">
              <w:rPr>
                <w:rFonts w:cs="Arial"/>
              </w:rPr>
              <w:t>•</w:t>
            </w:r>
            <w:r w:rsidRPr="002F6E47">
              <w:rPr>
                <w:rFonts w:cs="Arial"/>
              </w:rPr>
              <w:tab/>
              <w:t>Strengthen the engagement of private providers in TB control activities</w:t>
            </w:r>
          </w:p>
          <w:p w14:paraId="6354C23B" w14:textId="4AAE3669" w:rsidR="002F6E47" w:rsidRPr="002F6E47" w:rsidRDefault="002F6E47" w:rsidP="002F6E47">
            <w:pPr>
              <w:rPr>
                <w:rFonts w:cs="Arial"/>
              </w:rPr>
            </w:pPr>
            <w:r w:rsidRPr="002F6E47">
              <w:rPr>
                <w:rFonts w:cs="Arial"/>
              </w:rPr>
              <w:t>•</w:t>
            </w:r>
            <w:r w:rsidRPr="002F6E47">
              <w:rPr>
                <w:rFonts w:cs="Arial"/>
              </w:rPr>
              <w:tab/>
              <w:t xml:space="preserve">Increase detection of TB in children </w:t>
            </w:r>
          </w:p>
          <w:p w14:paraId="2C238F7F" w14:textId="40A07675" w:rsidR="002F6E47" w:rsidRDefault="002F6E47" w:rsidP="002F6E47">
            <w:pPr>
              <w:rPr>
                <w:rFonts w:cs="Arial"/>
              </w:rPr>
            </w:pPr>
            <w:r w:rsidRPr="002F6E47">
              <w:rPr>
                <w:rFonts w:cs="Arial"/>
              </w:rPr>
              <w:t>•</w:t>
            </w:r>
            <w:r w:rsidRPr="002F6E47">
              <w:rPr>
                <w:rFonts w:cs="Arial"/>
              </w:rPr>
              <w:tab/>
              <w:t>Ensure adequate diagnosis of patients with presumptive MDR TB at all NTP facilities</w:t>
            </w:r>
          </w:p>
        </w:tc>
      </w:tr>
    </w:tbl>
    <w:p w14:paraId="1C1B026B" w14:textId="4BA13D59" w:rsidR="00412A61" w:rsidRDefault="00412A61" w:rsidP="0057108F">
      <w:pPr>
        <w:pStyle w:val="ListParagraph"/>
        <w:spacing w:after="0" w:line="240" w:lineRule="auto"/>
        <w:ind w:left="0"/>
        <w:contextualSpacing w:val="0"/>
        <w:rPr>
          <w:rFonts w:cs="Arial"/>
          <w:szCs w:val="20"/>
        </w:rPr>
      </w:pPr>
    </w:p>
    <w:p w14:paraId="428DE24F" w14:textId="441C17D7" w:rsidR="00A46A69" w:rsidRPr="00346E26" w:rsidRDefault="00353B5B" w:rsidP="0057108F">
      <w:pPr>
        <w:pStyle w:val="Heading1"/>
      </w:pPr>
      <w:bookmarkStart w:id="28" w:name="_Toc7075896"/>
      <w:bookmarkStart w:id="29" w:name="_Toc7080092"/>
      <w:bookmarkStart w:id="30" w:name="_Toc7080213"/>
      <w:bookmarkStart w:id="31" w:name="_Toc7080228"/>
      <w:bookmarkStart w:id="32" w:name="_Toc7082335"/>
      <w:bookmarkStart w:id="33" w:name="_Toc1122238"/>
      <w:bookmarkStart w:id="34" w:name="_Toc1127667"/>
      <w:bookmarkStart w:id="35" w:name="_Toc5011519"/>
      <w:bookmarkStart w:id="36" w:name="_Toc5195533"/>
      <w:bookmarkStart w:id="37" w:name="_Toc6994679"/>
      <w:bookmarkStart w:id="38" w:name="_Toc7000520"/>
      <w:bookmarkStart w:id="39" w:name="_Toc7000630"/>
      <w:bookmarkStart w:id="40" w:name="_Toc7074796"/>
      <w:r>
        <w:t xml:space="preserve">Section 3: </w:t>
      </w:r>
      <w:r w:rsidR="004D0736" w:rsidRPr="00346E26">
        <w:t>Operationalization and Imp</w:t>
      </w:r>
      <w:r w:rsidR="002D46DB" w:rsidRPr="00346E26">
        <w:t>lementation Arrangements</w:t>
      </w:r>
    </w:p>
    <w:bookmarkEnd w:id="28"/>
    <w:bookmarkEnd w:id="29"/>
    <w:bookmarkEnd w:id="30"/>
    <w:bookmarkEnd w:id="31"/>
    <w:bookmarkEnd w:id="32"/>
    <w:bookmarkEnd w:id="33"/>
    <w:bookmarkEnd w:id="34"/>
    <w:bookmarkEnd w:id="35"/>
    <w:bookmarkEnd w:id="36"/>
    <w:bookmarkEnd w:id="37"/>
    <w:bookmarkEnd w:id="38"/>
    <w:bookmarkEnd w:id="39"/>
    <w:bookmarkEnd w:id="40"/>
    <w:p w14:paraId="657E9F83" w14:textId="77777777" w:rsidR="0092780F" w:rsidRDefault="0092780F" w:rsidP="0057108F">
      <w:pPr>
        <w:spacing w:after="0"/>
        <w:rPr>
          <w:rStyle w:val="normaltextrun"/>
          <w:rFonts w:cs="Arial"/>
          <w:color w:val="000000"/>
          <w:shd w:val="clear" w:color="auto" w:fill="FFFFFF"/>
        </w:rPr>
      </w:pPr>
    </w:p>
    <w:p w14:paraId="40FB64FF" w14:textId="0B94C60D" w:rsidR="00AB1C2C" w:rsidRDefault="00D622F1" w:rsidP="0057108F">
      <w:pPr>
        <w:spacing w:after="0"/>
        <w:rPr>
          <w:rFonts w:cs="Arial"/>
          <w:bCs/>
          <w:iCs/>
        </w:rPr>
      </w:pPr>
      <w:r>
        <w:rPr>
          <w:rStyle w:val="normaltextrun"/>
          <w:rFonts w:cs="Arial"/>
          <w:color w:val="000000"/>
          <w:shd w:val="clear" w:color="auto" w:fill="FFFFFF"/>
        </w:rPr>
        <w:t>To respond to the questions below, refer to the </w:t>
      </w:r>
      <w:r>
        <w:rPr>
          <w:rStyle w:val="normaltextrun"/>
          <w:rFonts w:cs="Arial"/>
          <w:i/>
          <w:iCs/>
          <w:color w:val="000000"/>
          <w:shd w:val="clear" w:color="auto" w:fill="FFFFFF"/>
        </w:rPr>
        <w:t>Instructions</w:t>
      </w:r>
      <w:r w:rsidR="00F7668C">
        <w:rPr>
          <w:rStyle w:val="normaltextrun"/>
          <w:rFonts w:cs="Arial"/>
          <w:i/>
          <w:iCs/>
          <w:color w:val="000000"/>
          <w:shd w:val="clear" w:color="auto" w:fill="FFFFFF"/>
        </w:rPr>
        <w:t xml:space="preserve">, </w:t>
      </w:r>
      <w:r w:rsidR="00F7668C" w:rsidRPr="00F7668C">
        <w:rPr>
          <w:rStyle w:val="normaltextrun"/>
          <w:rFonts w:cs="Arial"/>
          <w:color w:val="000000"/>
          <w:shd w:val="clear" w:color="auto" w:fill="FFFFFF"/>
        </w:rPr>
        <w:t>NSPs</w:t>
      </w:r>
      <w:r w:rsidRPr="00F7668C">
        <w:rPr>
          <w:rStyle w:val="normaltextrun"/>
          <w:rFonts w:cs="Arial"/>
          <w:color w:val="000000"/>
          <w:shd w:val="clear" w:color="auto" w:fill="FFFFFF"/>
        </w:rPr>
        <w:t> </w:t>
      </w:r>
      <w:r w:rsidR="00B8035C">
        <w:rPr>
          <w:rStyle w:val="normaltextrun"/>
          <w:rFonts w:cs="Arial"/>
          <w:color w:val="000000"/>
          <w:shd w:val="clear" w:color="auto" w:fill="FFFFFF"/>
        </w:rPr>
        <w:t xml:space="preserve">and an </w:t>
      </w:r>
      <w:r>
        <w:rPr>
          <w:rStyle w:val="normaltextrun"/>
          <w:rFonts w:cs="Arial"/>
          <w:color w:val="000000"/>
          <w:shd w:val="clear" w:color="auto" w:fill="FFFFFF"/>
        </w:rPr>
        <w:t>updated</w:t>
      </w:r>
      <w:r>
        <w:rPr>
          <w:rStyle w:val="normaltextrun"/>
          <w:rFonts w:cs="Arial"/>
          <w:i/>
          <w:iCs/>
          <w:color w:val="000000"/>
          <w:shd w:val="clear" w:color="auto" w:fill="FFFFFF"/>
        </w:rPr>
        <w:t> </w:t>
      </w:r>
      <w:r w:rsidR="00B8035C">
        <w:rPr>
          <w:rStyle w:val="normaltextrun"/>
          <w:rFonts w:cs="Arial"/>
          <w:b/>
          <w:bCs/>
          <w:color w:val="000000"/>
          <w:shd w:val="clear" w:color="auto" w:fill="FFFFFF"/>
        </w:rPr>
        <w:t>Implementation Arrangement M</w:t>
      </w:r>
      <w:r>
        <w:rPr>
          <w:rStyle w:val="normaltextrun"/>
          <w:rFonts w:cs="Arial"/>
          <w:b/>
          <w:bCs/>
          <w:color w:val="000000"/>
          <w:shd w:val="clear" w:color="auto" w:fill="FFFFFF"/>
        </w:rPr>
        <w:t>ap</w:t>
      </w:r>
      <w:r w:rsidR="00B8035C">
        <w:rPr>
          <w:rStyle w:val="normaltextrun"/>
          <w:rFonts w:cs="Arial"/>
          <w:b/>
          <w:bCs/>
          <w:color w:val="000000"/>
          <w:shd w:val="clear" w:color="auto" w:fill="FFFFFF"/>
        </w:rPr>
        <w:t>(s)</w:t>
      </w:r>
      <w:r w:rsidR="000B6C8E">
        <w:rPr>
          <w:rStyle w:val="FootnoteReference"/>
          <w:rFonts w:cs="Arial"/>
          <w:b/>
          <w:bCs/>
          <w:color w:val="000000"/>
          <w:shd w:val="clear" w:color="auto" w:fill="FFFFFF"/>
        </w:rPr>
        <w:footnoteReference w:id="6"/>
      </w:r>
      <w:r>
        <w:rPr>
          <w:rStyle w:val="normaltextrun"/>
          <w:rFonts w:cs="Arial"/>
          <w:color w:val="000000"/>
          <w:shd w:val="clear" w:color="auto" w:fill="FFFFFF"/>
        </w:rPr>
        <w:t>.</w:t>
      </w:r>
    </w:p>
    <w:p w14:paraId="5F07880E" w14:textId="77777777" w:rsidR="009C2FD4" w:rsidRDefault="009C2FD4" w:rsidP="0057108F">
      <w:pPr>
        <w:spacing w:after="0"/>
        <w:rPr>
          <w:rFonts w:cs="Arial"/>
          <w:bCs/>
          <w:iCs/>
        </w:rPr>
      </w:pPr>
    </w:p>
    <w:p w14:paraId="075E6CCC" w14:textId="10EEA3A7" w:rsidR="00AB1C2C" w:rsidRPr="00C2469E" w:rsidRDefault="00AB1C2C" w:rsidP="00141FFC">
      <w:pPr>
        <w:pStyle w:val="ListParagraph"/>
        <w:numPr>
          <w:ilvl w:val="0"/>
          <w:numId w:val="5"/>
        </w:numPr>
        <w:spacing w:after="0"/>
        <w:contextualSpacing w:val="0"/>
      </w:pPr>
      <w:bookmarkStart w:id="41" w:name="_Hlk12629775"/>
      <w:r>
        <w:rPr>
          <w:rFonts w:cs="Arial"/>
        </w:rPr>
        <w:t>D</w:t>
      </w:r>
      <w:r w:rsidRPr="004D0736">
        <w:rPr>
          <w:rFonts w:cs="Arial"/>
        </w:rPr>
        <w:t xml:space="preserve">escribe how </w:t>
      </w:r>
      <w:r w:rsidR="00381C57">
        <w:rPr>
          <w:rFonts w:cs="Arial"/>
        </w:rPr>
        <w:t xml:space="preserve">the </w:t>
      </w:r>
      <w:r w:rsidRPr="004D0736">
        <w:rPr>
          <w:rFonts w:cs="Arial"/>
        </w:rPr>
        <w:t xml:space="preserve">proposed </w:t>
      </w:r>
      <w:r w:rsidRPr="00DC777F">
        <w:rPr>
          <w:rFonts w:cs="Arial"/>
          <w:b/>
        </w:rPr>
        <w:t>implementation arrangement</w:t>
      </w:r>
      <w:r w:rsidR="000D7334" w:rsidRPr="00DC777F">
        <w:rPr>
          <w:rFonts w:cs="Arial"/>
          <w:b/>
        </w:rPr>
        <w:t>s</w:t>
      </w:r>
      <w:r w:rsidRPr="004D0736">
        <w:rPr>
          <w:rFonts w:cs="Arial"/>
        </w:rPr>
        <w:t xml:space="preserve"> will ensure </w:t>
      </w:r>
      <w:r w:rsidRPr="00DC777F">
        <w:rPr>
          <w:rFonts w:cs="Arial"/>
        </w:rPr>
        <w:t>efficient program delivery</w:t>
      </w:r>
      <w:r w:rsidR="00440DE1">
        <w:rPr>
          <w:rFonts w:cs="Arial"/>
        </w:rPr>
        <w:t>.</w:t>
      </w:r>
    </w:p>
    <w:p w14:paraId="2E090AC5" w14:textId="77777777" w:rsidR="00C2469E" w:rsidRPr="003C6854" w:rsidRDefault="00C2469E" w:rsidP="00C2469E">
      <w:pPr>
        <w:pStyle w:val="ListParagraph"/>
        <w:spacing w:after="0"/>
        <w:ind w:left="360"/>
        <w:contextualSpacing w:val="0"/>
      </w:pPr>
    </w:p>
    <w:tbl>
      <w:tblPr>
        <w:tblStyle w:val="TableGrid"/>
        <w:tblW w:w="0" w:type="auto"/>
        <w:tblLook w:val="04A0" w:firstRow="1" w:lastRow="0" w:firstColumn="1" w:lastColumn="0" w:noHBand="0" w:noVBand="1"/>
      </w:tblPr>
      <w:tblGrid>
        <w:gridCol w:w="10456"/>
      </w:tblGrid>
      <w:tr w:rsidR="000B5867" w14:paraId="3ACECE55" w14:textId="77777777" w:rsidTr="00CC3B8C">
        <w:tc>
          <w:tcPr>
            <w:tcW w:w="10790" w:type="dxa"/>
          </w:tcPr>
          <w:bookmarkEnd w:id="41"/>
          <w:p w14:paraId="48C4A6F1" w14:textId="77777777" w:rsidR="00512964" w:rsidRPr="00512964" w:rsidRDefault="00512964" w:rsidP="00512964">
            <w:pPr>
              <w:rPr>
                <w:rFonts w:cs="Arial"/>
              </w:rPr>
            </w:pPr>
            <w:r w:rsidRPr="00512964">
              <w:rPr>
                <w:rFonts w:cs="Arial"/>
              </w:rPr>
              <w:t xml:space="preserve">The CCM has nominated two PRs </w:t>
            </w:r>
            <w:proofErr w:type="gramStart"/>
            <w:r w:rsidRPr="00512964">
              <w:rPr>
                <w:rFonts w:cs="Arial"/>
              </w:rPr>
              <w:t>( NTP</w:t>
            </w:r>
            <w:proofErr w:type="gramEnd"/>
            <w:r w:rsidRPr="00512964">
              <w:rPr>
                <w:rFonts w:cs="Arial"/>
              </w:rPr>
              <w:t xml:space="preserve">, </w:t>
            </w:r>
            <w:proofErr w:type="spellStart"/>
            <w:r w:rsidRPr="00512964">
              <w:rPr>
                <w:rFonts w:cs="Arial"/>
              </w:rPr>
              <w:t>MoH</w:t>
            </w:r>
            <w:proofErr w:type="spellEnd"/>
            <w:r w:rsidRPr="00512964">
              <w:rPr>
                <w:rFonts w:cs="Arial"/>
              </w:rPr>
              <w:t>&amp; FW: PR – 1 and BRAC: PR - 2) for administrative management of the TB control activities under GFATM TB grants. Procurement of pharmaceuticals and health products will mainly be done by PR-1. PR-2 under the set operational guidance distributes to the service delivery areas including hard-to-reach sites in consultation with NTP.</w:t>
            </w:r>
          </w:p>
          <w:p w14:paraId="3B454158" w14:textId="77777777" w:rsidR="00512964" w:rsidRPr="00512964" w:rsidRDefault="00512964" w:rsidP="00512964">
            <w:pPr>
              <w:rPr>
                <w:rFonts w:cs="Arial"/>
              </w:rPr>
            </w:pPr>
            <w:r w:rsidRPr="00512964">
              <w:rPr>
                <w:rFonts w:cs="Arial"/>
              </w:rPr>
              <w:t>The responsibilities of implementing TB services at all levels are done through defined operational guidelines of NTP. There is no duplication of work identified. The coordination meetings are held monthly between PRs and technical partners (WHO, CTB, SIAPS etc). Progress reviews of program implementation and grant performance of both PRs held quarterly. Both PRs discuss issues related to human resource development, procurement and supply management, supervision and monitoring.</w:t>
            </w:r>
          </w:p>
          <w:p w14:paraId="6AE8A5FB" w14:textId="0E5A6983" w:rsidR="00512964" w:rsidRPr="00512964" w:rsidRDefault="00512964" w:rsidP="00512964">
            <w:pPr>
              <w:rPr>
                <w:rFonts w:cs="Arial"/>
              </w:rPr>
            </w:pPr>
            <w:r w:rsidRPr="00512964">
              <w:rPr>
                <w:rFonts w:cs="Arial"/>
              </w:rPr>
              <w:t xml:space="preserve">Overall coordination of PRs and SRs is managed through NGO steering committee meetings. Performance review meetings are held on quarterly basis with all SRs at the central level. The meetings further discuss the strengths and weaknesses of implementation and management and feedback is also provided to respective SRs on </w:t>
            </w:r>
            <w:proofErr w:type="spellStart"/>
            <w:r w:rsidRPr="00512964">
              <w:rPr>
                <w:rFonts w:cs="Arial"/>
              </w:rPr>
              <w:t>atheir</w:t>
            </w:r>
            <w:proofErr w:type="spellEnd"/>
            <w:r w:rsidRPr="00512964">
              <w:rPr>
                <w:rFonts w:cs="Arial"/>
              </w:rPr>
              <w:t xml:space="preserve"> performances.</w:t>
            </w:r>
          </w:p>
          <w:p w14:paraId="7A34864A" w14:textId="77777777" w:rsidR="00512964" w:rsidRPr="00512964" w:rsidRDefault="00512964" w:rsidP="00512964">
            <w:pPr>
              <w:rPr>
                <w:rFonts w:cs="Arial"/>
              </w:rPr>
            </w:pPr>
            <w:r w:rsidRPr="00512964">
              <w:rPr>
                <w:rFonts w:cs="Arial"/>
              </w:rPr>
              <w:t xml:space="preserve">At the service delivery level, implementing health authorities at district and </w:t>
            </w:r>
            <w:proofErr w:type="spellStart"/>
            <w:r w:rsidRPr="00512964">
              <w:rPr>
                <w:rFonts w:cs="Arial"/>
              </w:rPr>
              <w:t>upazila</w:t>
            </w:r>
            <w:proofErr w:type="spellEnd"/>
            <w:r w:rsidRPr="00512964">
              <w:rPr>
                <w:rFonts w:cs="Arial"/>
              </w:rPr>
              <w:t xml:space="preserve"> levels and SRs meet in district- and </w:t>
            </w:r>
            <w:proofErr w:type="spellStart"/>
            <w:r w:rsidRPr="00512964">
              <w:rPr>
                <w:rFonts w:cs="Arial"/>
              </w:rPr>
              <w:t>upazila</w:t>
            </w:r>
            <w:proofErr w:type="spellEnd"/>
            <w:r w:rsidRPr="00512964">
              <w:rPr>
                <w:rFonts w:cs="Arial"/>
              </w:rPr>
              <w:t>-level meetings quarterly and review program performance.</w:t>
            </w:r>
          </w:p>
          <w:p w14:paraId="4C10CBAE" w14:textId="77777777" w:rsidR="00512964" w:rsidRPr="00512964" w:rsidRDefault="00512964" w:rsidP="00512964">
            <w:pPr>
              <w:rPr>
                <w:rFonts w:cs="Arial"/>
              </w:rPr>
            </w:pPr>
            <w:r w:rsidRPr="00512964">
              <w:rPr>
                <w:rFonts w:cs="Arial"/>
              </w:rPr>
              <w:lastRenderedPageBreak/>
              <w:t xml:space="preserve">Quarterly performance review and coordination meetings are held at district level chaired by Civil Surgeon of the district. The performance of each </w:t>
            </w:r>
            <w:proofErr w:type="spellStart"/>
            <w:r w:rsidRPr="00512964">
              <w:rPr>
                <w:rFonts w:cs="Arial"/>
              </w:rPr>
              <w:t>upazila</w:t>
            </w:r>
            <w:proofErr w:type="spellEnd"/>
            <w:r w:rsidRPr="00512964">
              <w:rPr>
                <w:rFonts w:cs="Arial"/>
              </w:rPr>
              <w:t xml:space="preserve"> is presented by respective UH&amp;FPO and representatives from SRs working in their respective areas. In these meetings, program data </w:t>
            </w:r>
            <w:proofErr w:type="spellStart"/>
            <w:r w:rsidRPr="00512964">
              <w:rPr>
                <w:rFonts w:cs="Arial"/>
              </w:rPr>
              <w:t>areanalyzed</w:t>
            </w:r>
            <w:proofErr w:type="spellEnd"/>
            <w:r w:rsidRPr="00512964">
              <w:rPr>
                <w:rFonts w:cs="Arial"/>
              </w:rPr>
              <w:t xml:space="preserve"> and progress in implementation of action plans is reviewed. Representatives from NTP and SRs central level attend this meeting according to the need.</w:t>
            </w:r>
          </w:p>
          <w:p w14:paraId="3B62A35C" w14:textId="77777777" w:rsidR="00512964" w:rsidRPr="00512964" w:rsidRDefault="00512964" w:rsidP="00512964">
            <w:pPr>
              <w:rPr>
                <w:rFonts w:cs="Arial"/>
              </w:rPr>
            </w:pPr>
            <w:r w:rsidRPr="00512964">
              <w:rPr>
                <w:rFonts w:cs="Arial"/>
              </w:rPr>
              <w:t xml:space="preserve">The progress of activities is discussed in the monthly staff meeting at </w:t>
            </w:r>
            <w:proofErr w:type="spellStart"/>
            <w:r w:rsidRPr="00512964">
              <w:rPr>
                <w:rFonts w:cs="Arial"/>
              </w:rPr>
              <w:t>Upazila</w:t>
            </w:r>
            <w:proofErr w:type="spellEnd"/>
            <w:r w:rsidRPr="00512964">
              <w:rPr>
                <w:rFonts w:cs="Arial"/>
              </w:rPr>
              <w:t xml:space="preserve"> Health Complex (UHC). SRs from the respective </w:t>
            </w:r>
            <w:proofErr w:type="spellStart"/>
            <w:r w:rsidRPr="00512964">
              <w:rPr>
                <w:rFonts w:cs="Arial"/>
              </w:rPr>
              <w:t>upazila</w:t>
            </w:r>
            <w:proofErr w:type="spellEnd"/>
            <w:r w:rsidRPr="00512964">
              <w:rPr>
                <w:rFonts w:cs="Arial"/>
              </w:rPr>
              <w:t xml:space="preserve"> participate in the meeting. Both government and SRs share their performance and activities and are revised updated as per need.</w:t>
            </w:r>
          </w:p>
          <w:p w14:paraId="4C807FA3" w14:textId="5221CF65" w:rsidR="000B5867" w:rsidRDefault="00512964" w:rsidP="00512964">
            <w:pPr>
              <w:rPr>
                <w:rFonts w:cs="Arial"/>
              </w:rPr>
            </w:pPr>
            <w:r w:rsidRPr="00512964">
              <w:rPr>
                <w:rFonts w:cs="Arial"/>
              </w:rPr>
              <w:t>All the activities undertaken by PRs and SRs are reviewed in the CCM meetings and CCM Oversight Committee. Representatives from multiple stakeholders include people living with TB, women’s groups and representatives of the Ministry of Women and Child Affairs.</w:t>
            </w:r>
          </w:p>
          <w:p w14:paraId="78AD6C86" w14:textId="77777777" w:rsidR="000B5867" w:rsidRDefault="000B5867" w:rsidP="0057108F">
            <w:pPr>
              <w:rPr>
                <w:rFonts w:cs="Arial"/>
              </w:rPr>
            </w:pPr>
          </w:p>
          <w:p w14:paraId="3029487E" w14:textId="77777777" w:rsidR="000B5867" w:rsidRDefault="000B5867" w:rsidP="0057108F">
            <w:pPr>
              <w:rPr>
                <w:rFonts w:cs="Arial"/>
              </w:rPr>
            </w:pPr>
          </w:p>
        </w:tc>
      </w:tr>
    </w:tbl>
    <w:p w14:paraId="2ACE7470" w14:textId="1C820DC0" w:rsidR="00257A14" w:rsidRDefault="00257A14" w:rsidP="0057108F">
      <w:pPr>
        <w:spacing w:after="0"/>
        <w:rPr>
          <w:rFonts w:cs="Arial"/>
          <w:bCs/>
          <w:iCs/>
        </w:rPr>
      </w:pPr>
    </w:p>
    <w:p w14:paraId="4456390B" w14:textId="77777777" w:rsidR="00412A61" w:rsidRDefault="00412A61" w:rsidP="0057108F">
      <w:pPr>
        <w:spacing w:after="0"/>
        <w:rPr>
          <w:rFonts w:cs="Arial"/>
          <w:bCs/>
          <w:iCs/>
        </w:rPr>
      </w:pPr>
    </w:p>
    <w:p w14:paraId="7CC0CE78" w14:textId="5B571AE8" w:rsidR="00EB0417" w:rsidRPr="00EB0417" w:rsidRDefault="005A4566" w:rsidP="00141FFC">
      <w:pPr>
        <w:pStyle w:val="ListParagraph"/>
        <w:numPr>
          <w:ilvl w:val="0"/>
          <w:numId w:val="5"/>
        </w:numPr>
        <w:spacing w:after="0" w:line="240" w:lineRule="auto"/>
        <w:contextualSpacing w:val="0"/>
        <w:textAlignment w:val="baseline"/>
        <w:rPr>
          <w:rFonts w:eastAsia="Times New Roman" w:cs="Arial"/>
        </w:rPr>
      </w:pPr>
      <w:bookmarkStart w:id="42" w:name="_Hlk9713131"/>
      <w:r>
        <w:rPr>
          <w:rFonts w:eastAsia="Times New Roman" w:cs="Arial"/>
        </w:rPr>
        <w:t>D</w:t>
      </w:r>
      <w:r w:rsidR="00EB0417" w:rsidRPr="00EB0417">
        <w:rPr>
          <w:rFonts w:eastAsia="Times New Roman" w:cs="Arial"/>
        </w:rPr>
        <w:t>escribe the role that </w:t>
      </w:r>
      <w:r w:rsidR="00EB0417" w:rsidRPr="00346E26">
        <w:rPr>
          <w:rFonts w:eastAsia="Times New Roman" w:cs="Arial"/>
          <w:b/>
        </w:rPr>
        <w:t>community-based organizations</w:t>
      </w:r>
      <w:r w:rsidR="00EB0417" w:rsidRPr="00EB0417">
        <w:rPr>
          <w:rFonts w:eastAsia="Times New Roman" w:cs="Arial"/>
        </w:rPr>
        <w:t xml:space="preserve"> will play under </w:t>
      </w:r>
      <w:r w:rsidR="00B835B3">
        <w:rPr>
          <w:rFonts w:eastAsia="Times New Roman" w:cs="Arial"/>
        </w:rPr>
        <w:t>the implementation arrangements.</w:t>
      </w:r>
    </w:p>
    <w:p w14:paraId="4C8625AA" w14:textId="275180A4" w:rsidR="00EB0417" w:rsidRPr="00EB0417" w:rsidRDefault="00EB0417" w:rsidP="0057108F">
      <w:pPr>
        <w:spacing w:after="0" w:line="240" w:lineRule="auto"/>
        <w:textAlignment w:val="baseline"/>
        <w:rPr>
          <w:rFonts w:eastAsia="Times New Roman" w:cs="Arial"/>
        </w:rPr>
      </w:pPr>
      <w:r w:rsidRPr="00EB0417">
        <w:rPr>
          <w:rFonts w:eastAsia="Times New Roman" w:cs="Arial"/>
        </w:rPr>
        <w:t> </w:t>
      </w:r>
    </w:p>
    <w:tbl>
      <w:tblPr>
        <w:tblStyle w:val="TableGrid"/>
        <w:tblW w:w="0" w:type="auto"/>
        <w:tblLook w:val="04A0" w:firstRow="1" w:lastRow="0" w:firstColumn="1" w:lastColumn="0" w:noHBand="0" w:noVBand="1"/>
      </w:tblPr>
      <w:tblGrid>
        <w:gridCol w:w="10456"/>
      </w:tblGrid>
      <w:tr w:rsidR="00EB0417" w14:paraId="59BBE10F" w14:textId="77777777" w:rsidTr="007B4D94">
        <w:tc>
          <w:tcPr>
            <w:tcW w:w="10790" w:type="dxa"/>
          </w:tcPr>
          <w:p w14:paraId="46ADD138" w14:textId="77777777" w:rsidR="00C71F41" w:rsidRPr="00C71F41" w:rsidRDefault="00C71F41" w:rsidP="00C71F41">
            <w:pPr>
              <w:rPr>
                <w:rFonts w:cs="Arial"/>
              </w:rPr>
            </w:pPr>
            <w:r w:rsidRPr="00C71F41">
              <w:rPr>
                <w:rFonts w:cs="Arial"/>
              </w:rPr>
              <w:t>The NTP is collaborating with a variety of organizations to implement TB control activities e.g. NGOs, Civil society organizations, Medical College Hospitals, Specialized Hospitals Specialized Institutions, Development partners, Professional Associations and the Corporate Sectors.</w:t>
            </w:r>
          </w:p>
          <w:p w14:paraId="15401D06" w14:textId="77777777" w:rsidR="00C71F41" w:rsidRPr="00C71F41" w:rsidRDefault="00C71F41" w:rsidP="00C71F41">
            <w:pPr>
              <w:rPr>
                <w:rFonts w:cs="Arial"/>
              </w:rPr>
            </w:pPr>
            <w:r w:rsidRPr="00C71F41">
              <w:rPr>
                <w:rFonts w:cs="Arial"/>
              </w:rPr>
              <w:t xml:space="preserve">Several NGOs are given responsibility in demarcated geographic areas or for specific activities for TB control as illustrated in the map shown below. </w:t>
            </w:r>
          </w:p>
          <w:p w14:paraId="57A63430" w14:textId="34F2BE31" w:rsidR="00C71F41" w:rsidRDefault="00C71F41" w:rsidP="00C71F41">
            <w:pPr>
              <w:rPr>
                <w:rFonts w:cs="Arial"/>
              </w:rPr>
            </w:pPr>
            <w:r w:rsidRPr="00C71F41">
              <w:rPr>
                <w:rFonts w:cs="Arial"/>
              </w:rPr>
              <w:t>Geographical areas of implementation responsibility for key NGOs</w:t>
            </w:r>
          </w:p>
          <w:p w14:paraId="5F7737A3" w14:textId="1E6AD774" w:rsidR="00C71F41" w:rsidRPr="00C71F41" w:rsidRDefault="00C71F41" w:rsidP="00C71F41">
            <w:pPr>
              <w:rPr>
                <w:rFonts w:cs="Arial"/>
              </w:rPr>
            </w:pPr>
            <w:r>
              <w:rPr>
                <w:rFonts w:cs="Arial"/>
                <w:noProof/>
              </w:rPr>
              <w:drawing>
                <wp:inline distT="0" distB="0" distL="0" distR="0" wp14:anchorId="32817FC8" wp14:editId="7A3D9E34">
                  <wp:extent cx="2906435" cy="3841404"/>
                  <wp:effectExtent l="0" t="0" r="825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769" cy="3844488"/>
                          </a:xfrm>
                          <a:prstGeom prst="rect">
                            <a:avLst/>
                          </a:prstGeom>
                          <a:noFill/>
                        </pic:spPr>
                      </pic:pic>
                    </a:graphicData>
                  </a:graphic>
                </wp:inline>
              </w:drawing>
            </w:r>
          </w:p>
          <w:p w14:paraId="1E2CFA71" w14:textId="77777777" w:rsidR="00C71F41" w:rsidRPr="00C71F41" w:rsidRDefault="00C71F41" w:rsidP="00C71F41">
            <w:pPr>
              <w:rPr>
                <w:rFonts w:cs="Arial"/>
              </w:rPr>
            </w:pPr>
          </w:p>
          <w:p w14:paraId="617ED955" w14:textId="7CC1A5CC" w:rsidR="00EB0417" w:rsidRDefault="00C71F41" w:rsidP="00C71F41">
            <w:pPr>
              <w:rPr>
                <w:rFonts w:cs="Arial"/>
              </w:rPr>
            </w:pPr>
            <w:r>
              <w:rPr>
                <w:rFonts w:cs="Arial"/>
              </w:rPr>
              <w:t xml:space="preserve">Multiple NGOs receive funding as </w:t>
            </w:r>
            <w:r w:rsidR="00512964" w:rsidRPr="00512964">
              <w:rPr>
                <w:rFonts w:cs="Arial"/>
              </w:rPr>
              <w:t xml:space="preserve">SRs </w:t>
            </w:r>
            <w:r>
              <w:rPr>
                <w:rFonts w:cs="Arial"/>
              </w:rPr>
              <w:t>under the current</w:t>
            </w:r>
            <w:r w:rsidR="00512964" w:rsidRPr="00512964">
              <w:rPr>
                <w:rFonts w:cs="Arial"/>
              </w:rPr>
              <w:t xml:space="preserve"> GFATM grant and have signed an MoU with NTP for service delivery. These SRs will continue work under PR2 and will be managed by PR2 as in the past by signing a sub-agreement and following SR management manuals and guidelines.  PR-2 coordinates with the SRs through an annual planning workshop and quarterly performance review meetings.</w:t>
            </w:r>
          </w:p>
          <w:p w14:paraId="5A646D24" w14:textId="77777777" w:rsidR="00EB0417" w:rsidRDefault="00EB0417" w:rsidP="0057108F">
            <w:pPr>
              <w:rPr>
                <w:rFonts w:cs="Arial"/>
              </w:rPr>
            </w:pPr>
          </w:p>
        </w:tc>
      </w:tr>
    </w:tbl>
    <w:p w14:paraId="520D2FE1" w14:textId="521AFB20" w:rsidR="00412A61" w:rsidRDefault="00EB0417" w:rsidP="0057108F">
      <w:pPr>
        <w:spacing w:after="0" w:line="240" w:lineRule="auto"/>
        <w:textAlignment w:val="baseline"/>
        <w:rPr>
          <w:rFonts w:eastAsia="Times New Roman" w:cs="Arial"/>
        </w:rPr>
      </w:pPr>
      <w:r w:rsidRPr="00EB0417">
        <w:rPr>
          <w:rFonts w:eastAsia="Times New Roman" w:cs="Arial"/>
        </w:rPr>
        <w:t> </w:t>
      </w:r>
    </w:p>
    <w:p w14:paraId="7020EE89" w14:textId="77777777" w:rsidR="0092780F" w:rsidRDefault="0092780F" w:rsidP="0057108F">
      <w:pPr>
        <w:spacing w:after="0" w:line="240" w:lineRule="auto"/>
        <w:textAlignment w:val="baseline"/>
        <w:rPr>
          <w:rFonts w:eastAsia="Times New Roman" w:cs="Arial"/>
        </w:rPr>
      </w:pPr>
    </w:p>
    <w:p w14:paraId="3B0ADA0E" w14:textId="77777777" w:rsidR="0092780F" w:rsidRDefault="0092780F" w:rsidP="0057108F">
      <w:pPr>
        <w:spacing w:after="0"/>
        <w:rPr>
          <w:rFonts w:eastAsia="Times New Roman" w:cs="Arial"/>
        </w:rPr>
      </w:pPr>
      <w:r>
        <w:rPr>
          <w:rFonts w:eastAsia="Times New Roman" w:cs="Arial"/>
        </w:rPr>
        <w:br w:type="page"/>
      </w:r>
    </w:p>
    <w:p w14:paraId="5EF2BB34" w14:textId="34EB7AD2" w:rsidR="00EB0417" w:rsidRPr="00EB0417" w:rsidRDefault="00440DE1" w:rsidP="00141FFC">
      <w:pPr>
        <w:pStyle w:val="ListParagraph"/>
        <w:numPr>
          <w:ilvl w:val="0"/>
          <w:numId w:val="5"/>
        </w:numPr>
        <w:spacing w:after="0" w:line="240" w:lineRule="auto"/>
        <w:contextualSpacing w:val="0"/>
        <w:textAlignment w:val="baseline"/>
        <w:rPr>
          <w:rFonts w:eastAsia="Times New Roman" w:cs="Arial"/>
        </w:rPr>
      </w:pPr>
      <w:r>
        <w:rPr>
          <w:rFonts w:eastAsia="Times New Roman" w:cs="Arial"/>
        </w:rPr>
        <w:lastRenderedPageBreak/>
        <w:t>Describe key</w:t>
      </w:r>
      <w:r w:rsidR="00381C57">
        <w:rPr>
          <w:rFonts w:eastAsia="Times New Roman" w:cs="Arial"/>
        </w:rPr>
        <w:t>,</w:t>
      </w:r>
      <w:r w:rsidR="00EB0417" w:rsidRPr="00EB0417">
        <w:rPr>
          <w:rFonts w:eastAsia="Times New Roman" w:cs="Arial"/>
        </w:rPr>
        <w:t xml:space="preserve"> </w:t>
      </w:r>
      <w:r w:rsidR="00EB0417" w:rsidRPr="00EA4516">
        <w:rPr>
          <w:rFonts w:eastAsia="Times New Roman" w:cs="Arial"/>
          <w:b/>
        </w:rPr>
        <w:t>anticipated</w:t>
      </w:r>
      <w:r w:rsidR="00EB0417" w:rsidRPr="00C2469E">
        <w:rPr>
          <w:rFonts w:eastAsia="Times New Roman" w:cs="Arial"/>
          <w:b/>
        </w:rPr>
        <w:t xml:space="preserve"> implementation risks</w:t>
      </w:r>
      <w:r w:rsidR="00EB0417" w:rsidRPr="00EB0417">
        <w:rPr>
          <w:rFonts w:eastAsia="Times New Roman" w:cs="Arial"/>
        </w:rPr>
        <w:t xml:space="preserve"> that might negatively affect </w:t>
      </w:r>
      <w:r w:rsidR="00C2469E">
        <w:rPr>
          <w:rFonts w:eastAsia="Times New Roman" w:cs="Arial"/>
        </w:rPr>
        <w:t>(</w:t>
      </w:r>
      <w:r>
        <w:rPr>
          <w:rFonts w:eastAsia="Times New Roman" w:cs="Arial"/>
        </w:rPr>
        <w:t xml:space="preserve">i) </w:t>
      </w:r>
      <w:r w:rsidR="00EB0417" w:rsidRPr="00EB0417">
        <w:rPr>
          <w:rFonts w:eastAsia="Times New Roman" w:cs="Arial"/>
        </w:rPr>
        <w:t>the delivery of the</w:t>
      </w:r>
      <w:r>
        <w:rPr>
          <w:rFonts w:eastAsia="Times New Roman" w:cs="Arial"/>
        </w:rPr>
        <w:t xml:space="preserve"> program objectives supported by the </w:t>
      </w:r>
      <w:r w:rsidR="00260EA2">
        <w:rPr>
          <w:rFonts w:eastAsia="Times New Roman" w:cs="Arial"/>
        </w:rPr>
        <w:t>Global Fund</w:t>
      </w:r>
      <w:r w:rsidR="00EB0417" w:rsidRPr="00EB0417">
        <w:rPr>
          <w:rFonts w:eastAsia="Times New Roman" w:cs="Arial"/>
        </w:rPr>
        <w:t xml:space="preserve"> and/or </w:t>
      </w:r>
      <w:r w:rsidR="00C2469E">
        <w:rPr>
          <w:rFonts w:eastAsia="Times New Roman" w:cs="Arial"/>
        </w:rPr>
        <w:t>(</w:t>
      </w:r>
      <w:r>
        <w:rPr>
          <w:rFonts w:eastAsia="Times New Roman" w:cs="Arial"/>
        </w:rPr>
        <w:t>ii) the broader health system. Then</w:t>
      </w:r>
      <w:r w:rsidR="00EB0417" w:rsidRPr="00EB0417">
        <w:rPr>
          <w:rFonts w:eastAsia="Times New Roman" w:cs="Arial"/>
        </w:rPr>
        <w:t>, describe the mitigation measures that address these risks, and which entity would be responsible for these mitigation measures. </w:t>
      </w:r>
    </w:p>
    <w:p w14:paraId="2104AC62" w14:textId="77777777" w:rsidR="00EB0417" w:rsidRPr="00EB0417" w:rsidRDefault="00EB0417" w:rsidP="0057108F">
      <w:pPr>
        <w:spacing w:after="0" w:line="240" w:lineRule="auto"/>
        <w:ind w:left="360"/>
        <w:textAlignment w:val="baseline"/>
        <w:rPr>
          <w:rFonts w:ascii="Segoe UI" w:eastAsia="Times New Roman" w:hAnsi="Segoe UI" w:cs="Segoe UI"/>
          <w:sz w:val="18"/>
          <w:szCs w:val="18"/>
        </w:rPr>
      </w:pPr>
      <w:r w:rsidRPr="00EB0417">
        <w:rPr>
          <w:rFonts w:eastAsia="Times New Roman" w:cs="Arial"/>
        </w:rPr>
        <w:t> </w:t>
      </w:r>
    </w:p>
    <w:tbl>
      <w:tblPr>
        <w:tblW w:w="1091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4012"/>
        <w:gridCol w:w="3450"/>
      </w:tblGrid>
      <w:tr w:rsidR="00EB0417" w:rsidRPr="00EB0417" w14:paraId="4E15EFC4" w14:textId="77777777" w:rsidTr="003964FC">
        <w:trPr>
          <w:trHeight w:val="255"/>
          <w:jc w:val="center"/>
        </w:trPr>
        <w:tc>
          <w:tcPr>
            <w:tcW w:w="3450" w:type="dxa"/>
            <w:tcBorders>
              <w:top w:val="single" w:sz="6" w:space="0" w:color="auto"/>
              <w:left w:val="single" w:sz="6" w:space="0" w:color="auto"/>
              <w:bottom w:val="single" w:sz="4" w:space="0" w:color="auto"/>
              <w:right w:val="single" w:sz="6" w:space="0" w:color="auto"/>
            </w:tcBorders>
            <w:shd w:val="clear" w:color="auto" w:fill="F2F2F2"/>
            <w:vAlign w:val="center"/>
            <w:hideMark/>
          </w:tcPr>
          <w:p w14:paraId="4B55F40F" w14:textId="2F30E22A"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bCs/>
              </w:rPr>
              <w:t>Key Implementation Risks</w:t>
            </w:r>
          </w:p>
        </w:tc>
        <w:tc>
          <w:tcPr>
            <w:tcW w:w="4012" w:type="dxa"/>
            <w:tcBorders>
              <w:top w:val="single" w:sz="6" w:space="0" w:color="auto"/>
              <w:left w:val="nil"/>
              <w:bottom w:val="single" w:sz="4" w:space="0" w:color="auto"/>
              <w:right w:val="single" w:sz="6" w:space="0" w:color="auto"/>
            </w:tcBorders>
            <w:shd w:val="clear" w:color="auto" w:fill="F2F2F2"/>
            <w:vAlign w:val="center"/>
            <w:hideMark/>
          </w:tcPr>
          <w:p w14:paraId="3B80AFBA" w14:textId="016129AC"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bCs/>
              </w:rPr>
              <w:t>Corresponding Mitigation Measures</w:t>
            </w:r>
          </w:p>
        </w:tc>
        <w:tc>
          <w:tcPr>
            <w:tcW w:w="3450" w:type="dxa"/>
            <w:tcBorders>
              <w:top w:val="single" w:sz="6" w:space="0" w:color="auto"/>
              <w:left w:val="nil"/>
              <w:bottom w:val="single" w:sz="6" w:space="0" w:color="auto"/>
              <w:right w:val="single" w:sz="6" w:space="0" w:color="auto"/>
            </w:tcBorders>
            <w:shd w:val="clear" w:color="auto" w:fill="F2F2F2"/>
            <w:vAlign w:val="center"/>
            <w:hideMark/>
          </w:tcPr>
          <w:p w14:paraId="52E248F6" w14:textId="078858BF"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bCs/>
              </w:rPr>
              <w:t>Entity Responsible</w:t>
            </w:r>
          </w:p>
        </w:tc>
      </w:tr>
      <w:tr w:rsidR="003964FC" w:rsidRPr="00EB0417" w14:paraId="5EF7C884" w14:textId="77777777" w:rsidTr="003964FC">
        <w:trPr>
          <w:trHeight w:val="39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14:paraId="56A8DEC1" w14:textId="77777777" w:rsidR="003964FC" w:rsidRDefault="003964FC" w:rsidP="003964FC">
            <w:pPr>
              <w:spacing w:after="0" w:line="276" w:lineRule="auto"/>
              <w:jc w:val="center"/>
              <w:rPr>
                <w:rFonts w:eastAsia="Calibri" w:cs="Arial"/>
                <w:iCs/>
                <w:sz w:val="20"/>
                <w:szCs w:val="20"/>
              </w:rPr>
            </w:pPr>
            <w:r>
              <w:rPr>
                <w:rFonts w:eastAsia="Calibri" w:cs="Arial"/>
                <w:iCs/>
                <w:sz w:val="20"/>
                <w:szCs w:val="20"/>
              </w:rPr>
              <w:t>P</w:t>
            </w:r>
            <w:r w:rsidRPr="00EE54CD">
              <w:rPr>
                <w:rFonts w:eastAsia="Calibri" w:cs="Arial"/>
                <w:iCs/>
                <w:sz w:val="20"/>
                <w:szCs w:val="20"/>
              </w:rPr>
              <w:t>rogrammatic and performance risks</w:t>
            </w:r>
            <w:r>
              <w:rPr>
                <w:rFonts w:eastAsia="Calibri" w:cs="Arial"/>
                <w:iCs/>
                <w:sz w:val="20"/>
                <w:szCs w:val="20"/>
              </w:rPr>
              <w:t>:</w:t>
            </w:r>
          </w:p>
          <w:p w14:paraId="277677CB" w14:textId="77777777" w:rsidR="003964FC" w:rsidRPr="006B7572" w:rsidRDefault="003964FC" w:rsidP="003964FC">
            <w:pPr>
              <w:spacing w:after="0" w:line="276" w:lineRule="auto"/>
              <w:jc w:val="center"/>
              <w:rPr>
                <w:rFonts w:eastAsia="Calibri" w:cs="Arial"/>
                <w:iCs/>
                <w:sz w:val="20"/>
                <w:szCs w:val="20"/>
              </w:rPr>
            </w:pPr>
          </w:p>
          <w:p w14:paraId="06DE6CE2" w14:textId="77777777" w:rsidR="003964FC" w:rsidRPr="004E1994" w:rsidRDefault="003964FC" w:rsidP="00141FFC">
            <w:pPr>
              <w:pStyle w:val="ListParagraph"/>
              <w:numPr>
                <w:ilvl w:val="0"/>
                <w:numId w:val="19"/>
              </w:numPr>
              <w:spacing w:after="200" w:line="276" w:lineRule="auto"/>
              <w:ind w:right="59"/>
              <w:rPr>
                <w:b/>
                <w:color w:val="404040" w:themeColor="text1"/>
              </w:rPr>
            </w:pPr>
            <w:r w:rsidRPr="004E1994">
              <w:rPr>
                <w:color w:val="404040" w:themeColor="text1"/>
              </w:rPr>
              <w:t xml:space="preserve">Unstable funding situation. This risk is considered to be of high likelihood and high impact. </w:t>
            </w:r>
          </w:p>
          <w:p w14:paraId="1E03CE2E" w14:textId="77777777" w:rsidR="003964FC" w:rsidRPr="004E1994" w:rsidRDefault="003964FC" w:rsidP="00141FFC">
            <w:pPr>
              <w:pStyle w:val="ListParagraph"/>
              <w:numPr>
                <w:ilvl w:val="0"/>
                <w:numId w:val="19"/>
              </w:numPr>
              <w:spacing w:after="200" w:line="276" w:lineRule="auto"/>
              <w:ind w:right="59"/>
              <w:rPr>
                <w:b/>
                <w:color w:val="404040" w:themeColor="text1"/>
              </w:rPr>
            </w:pPr>
            <w:r w:rsidRPr="004E1994">
              <w:rPr>
                <w:color w:val="404040" w:themeColor="text1"/>
              </w:rPr>
              <w:t xml:space="preserve">Low MIS database sustainability. This risk is considered to be of low likelihood and low impact. </w:t>
            </w:r>
          </w:p>
          <w:p w14:paraId="3A9C0958" w14:textId="13097768" w:rsidR="003964FC" w:rsidRPr="007822C8" w:rsidRDefault="003964FC" w:rsidP="00141FFC">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7822C8">
              <w:rPr>
                <w:color w:val="404040" w:themeColor="text1"/>
              </w:rPr>
              <w:t xml:space="preserve">High staff turnover rates. This risk is considered to be of medium likelihood and medium impact. </w:t>
            </w:r>
          </w:p>
        </w:tc>
        <w:tc>
          <w:tcPr>
            <w:tcW w:w="4012" w:type="dxa"/>
            <w:tcBorders>
              <w:top w:val="single" w:sz="4" w:space="0" w:color="auto"/>
              <w:left w:val="single" w:sz="4" w:space="0" w:color="auto"/>
              <w:bottom w:val="single" w:sz="4" w:space="0" w:color="auto"/>
              <w:right w:val="single" w:sz="4" w:space="0" w:color="auto"/>
            </w:tcBorders>
            <w:hideMark/>
          </w:tcPr>
          <w:p w14:paraId="603A611C" w14:textId="77777777" w:rsidR="003964FC" w:rsidRDefault="003964FC" w:rsidP="003964FC">
            <w:pPr>
              <w:spacing w:after="0" w:line="276" w:lineRule="auto"/>
              <w:jc w:val="center"/>
              <w:rPr>
                <w:rFonts w:eastAsia="Calibri" w:cs="Arial"/>
                <w:iCs/>
                <w:sz w:val="20"/>
                <w:szCs w:val="20"/>
              </w:rPr>
            </w:pPr>
            <w:r w:rsidRPr="00644A3A">
              <w:rPr>
                <w:rFonts w:eastAsia="Calibri" w:cs="Arial"/>
                <w:iCs/>
                <w:sz w:val="20"/>
                <w:szCs w:val="20"/>
              </w:rPr>
              <w:t>The remedial measures taken by the PR will focus on further resource mobilization from currently involved funding sources, i.e. GOB and USAID, and additional resource mobilization from additional donors to be identified.</w:t>
            </w:r>
          </w:p>
          <w:p w14:paraId="3AAC6B7B" w14:textId="77777777" w:rsidR="003964FC" w:rsidRDefault="003964FC" w:rsidP="003964FC">
            <w:pPr>
              <w:spacing w:after="0" w:line="276" w:lineRule="auto"/>
              <w:jc w:val="center"/>
              <w:rPr>
                <w:rFonts w:eastAsia="Calibri" w:cs="Arial"/>
                <w:iCs/>
                <w:sz w:val="20"/>
                <w:szCs w:val="20"/>
              </w:rPr>
            </w:pPr>
            <w:r w:rsidRPr="00644A3A">
              <w:rPr>
                <w:rFonts w:eastAsia="Calibri" w:cs="Arial"/>
                <w:iCs/>
                <w:sz w:val="20"/>
                <w:szCs w:val="20"/>
              </w:rPr>
              <w:t>The remedial measures employed include further software development and intensified training on data management.</w:t>
            </w:r>
          </w:p>
          <w:p w14:paraId="03A40E47" w14:textId="77777777" w:rsidR="003964FC" w:rsidRPr="00644A3A" w:rsidRDefault="003964FC" w:rsidP="003964FC">
            <w:pPr>
              <w:spacing w:after="0" w:line="276" w:lineRule="auto"/>
              <w:rPr>
                <w:rFonts w:eastAsia="Calibri" w:cs="Arial"/>
                <w:b/>
                <w:iCs/>
                <w:sz w:val="20"/>
                <w:szCs w:val="20"/>
              </w:rPr>
            </w:pPr>
            <w:r w:rsidRPr="00644A3A">
              <w:rPr>
                <w:rFonts w:eastAsia="Calibri" w:cs="Arial"/>
                <w:iCs/>
                <w:sz w:val="20"/>
                <w:szCs w:val="20"/>
              </w:rPr>
              <w:t>The remedial measures seek to reduce job dissatisfaction to improve retention rates.</w:t>
            </w:r>
          </w:p>
          <w:p w14:paraId="0F1F5854" w14:textId="6D368933" w:rsidR="003964FC" w:rsidRPr="00EB0417" w:rsidRDefault="003964FC" w:rsidP="003964FC">
            <w:pPr>
              <w:spacing w:after="0" w:line="240" w:lineRule="auto"/>
              <w:textAlignment w:val="baseline"/>
              <w:rPr>
                <w:rFonts w:ascii="Times New Roman" w:eastAsia="Times New Roman" w:hAnsi="Times New Roman" w:cs="Times New Roman"/>
                <w:sz w:val="24"/>
                <w:szCs w:val="24"/>
              </w:rPr>
            </w:pPr>
          </w:p>
        </w:tc>
        <w:tc>
          <w:tcPr>
            <w:tcW w:w="3450" w:type="dxa"/>
            <w:tcBorders>
              <w:top w:val="nil"/>
              <w:left w:val="single" w:sz="4" w:space="0" w:color="auto"/>
              <w:bottom w:val="single" w:sz="6" w:space="0" w:color="auto"/>
              <w:right w:val="single" w:sz="6" w:space="0" w:color="auto"/>
            </w:tcBorders>
            <w:shd w:val="clear" w:color="auto" w:fill="auto"/>
            <w:hideMark/>
          </w:tcPr>
          <w:p w14:paraId="408C3C72" w14:textId="2F12DDC0" w:rsidR="003964FC" w:rsidRPr="00EB0417" w:rsidRDefault="003964FC" w:rsidP="003964FC">
            <w:pPr>
              <w:spacing w:after="0" w:line="240" w:lineRule="auto"/>
              <w:textAlignment w:val="baseline"/>
              <w:rPr>
                <w:rFonts w:ascii="Times New Roman" w:eastAsia="Times New Roman" w:hAnsi="Times New Roman" w:cs="Times New Roman"/>
                <w:sz w:val="24"/>
                <w:szCs w:val="24"/>
              </w:rPr>
            </w:pPr>
            <w:r w:rsidRPr="00EB0417">
              <w:rPr>
                <w:rFonts w:eastAsia="Times New Roman" w:cs="Arial"/>
              </w:rPr>
              <w:t> </w:t>
            </w:r>
            <w:r w:rsidR="007822C8">
              <w:rPr>
                <w:rFonts w:eastAsia="Times New Roman" w:cs="Arial"/>
              </w:rPr>
              <w:t>NTP</w:t>
            </w:r>
          </w:p>
        </w:tc>
      </w:tr>
      <w:tr w:rsidR="007822C8" w:rsidRPr="00EB0417" w14:paraId="0AC03E14" w14:textId="77777777" w:rsidTr="003964FC">
        <w:trPr>
          <w:trHeight w:val="39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14:paraId="532E1DEE" w14:textId="77777777" w:rsidR="007822C8" w:rsidRDefault="007822C8" w:rsidP="007822C8">
            <w:pPr>
              <w:spacing w:after="0" w:line="276" w:lineRule="auto"/>
              <w:jc w:val="center"/>
              <w:rPr>
                <w:rFonts w:eastAsia="Calibri" w:cs="Arial"/>
                <w:bCs/>
                <w:iCs/>
                <w:sz w:val="20"/>
                <w:szCs w:val="20"/>
              </w:rPr>
            </w:pPr>
            <w:r>
              <w:rPr>
                <w:rFonts w:eastAsia="Calibri" w:cs="Arial"/>
                <w:bCs/>
                <w:iCs/>
                <w:sz w:val="20"/>
                <w:szCs w:val="20"/>
              </w:rPr>
              <w:t>F</w:t>
            </w:r>
            <w:r w:rsidRPr="006501BB">
              <w:rPr>
                <w:rFonts w:eastAsia="Calibri" w:cs="Arial"/>
                <w:bCs/>
                <w:iCs/>
                <w:sz w:val="20"/>
                <w:szCs w:val="20"/>
              </w:rPr>
              <w:t>iduciary and financial risks</w:t>
            </w:r>
            <w:r>
              <w:rPr>
                <w:rFonts w:eastAsia="Calibri" w:cs="Arial"/>
                <w:bCs/>
                <w:iCs/>
                <w:sz w:val="20"/>
                <w:szCs w:val="20"/>
              </w:rPr>
              <w:t>:</w:t>
            </w:r>
          </w:p>
          <w:p w14:paraId="2B3F1CE3" w14:textId="77777777" w:rsidR="007822C8" w:rsidRPr="006B7572" w:rsidRDefault="007822C8" w:rsidP="007822C8">
            <w:pPr>
              <w:spacing w:after="0" w:line="276" w:lineRule="auto"/>
              <w:jc w:val="center"/>
              <w:rPr>
                <w:rFonts w:eastAsia="Calibri" w:cs="Arial"/>
                <w:bCs/>
                <w:iCs/>
                <w:sz w:val="20"/>
                <w:szCs w:val="20"/>
              </w:rPr>
            </w:pPr>
          </w:p>
          <w:p w14:paraId="2F43F9BF" w14:textId="77777777" w:rsidR="007822C8" w:rsidRPr="006501BB" w:rsidRDefault="007822C8" w:rsidP="00141FFC">
            <w:pPr>
              <w:numPr>
                <w:ilvl w:val="0"/>
                <w:numId w:val="18"/>
              </w:numPr>
              <w:spacing w:after="200" w:line="276" w:lineRule="auto"/>
              <w:ind w:right="59"/>
              <w:contextualSpacing/>
              <w:rPr>
                <w:rFonts w:eastAsia="Calibri" w:cs="Arial"/>
                <w:color w:val="000000"/>
              </w:rPr>
            </w:pPr>
            <w:r w:rsidRPr="006501BB">
              <w:rPr>
                <w:rFonts w:eastAsia="Calibri" w:cs="Arial"/>
                <w:color w:val="000000"/>
              </w:rPr>
              <w:t xml:space="preserve">Risks resulting from fluctuating foreign exchange rates. This risk is considered to be of low likelihood but high impact for the program. </w:t>
            </w:r>
          </w:p>
          <w:p w14:paraId="5DD0E096" w14:textId="77777777" w:rsidR="007822C8" w:rsidRPr="006501BB" w:rsidRDefault="007822C8" w:rsidP="00141FFC">
            <w:pPr>
              <w:numPr>
                <w:ilvl w:val="0"/>
                <w:numId w:val="18"/>
              </w:numPr>
              <w:spacing w:after="200" w:line="276" w:lineRule="auto"/>
              <w:ind w:right="59"/>
              <w:contextualSpacing/>
              <w:rPr>
                <w:rFonts w:eastAsia="Calibri" w:cs="Arial"/>
                <w:color w:val="000000"/>
              </w:rPr>
            </w:pPr>
            <w:r w:rsidRPr="006501BB">
              <w:rPr>
                <w:rFonts w:eastAsia="Calibri" w:cs="Arial"/>
                <w:color w:val="000000"/>
              </w:rPr>
              <w:t xml:space="preserve">Market price changes for procurement items. This risk is considered to be of medium likelihood and high impact. </w:t>
            </w:r>
          </w:p>
          <w:p w14:paraId="3144D048" w14:textId="77777777" w:rsidR="007822C8" w:rsidRPr="006501BB" w:rsidRDefault="007822C8" w:rsidP="00141FFC">
            <w:pPr>
              <w:numPr>
                <w:ilvl w:val="0"/>
                <w:numId w:val="18"/>
              </w:numPr>
              <w:spacing w:after="200" w:line="276" w:lineRule="auto"/>
              <w:ind w:right="59"/>
              <w:contextualSpacing/>
              <w:rPr>
                <w:rFonts w:eastAsia="Calibri" w:cs="Arial"/>
                <w:color w:val="000000"/>
              </w:rPr>
            </w:pPr>
            <w:r w:rsidRPr="006501BB">
              <w:rPr>
                <w:rFonts w:eastAsia="Calibri" w:cs="Arial"/>
                <w:color w:val="000000"/>
              </w:rPr>
              <w:t xml:space="preserve">General risks related to the procurement process. These risks are considered to be of medium likelihood and medium impact. </w:t>
            </w:r>
          </w:p>
          <w:p w14:paraId="62D44765" w14:textId="47C45CEF" w:rsidR="007822C8" w:rsidRPr="00EB0417" w:rsidRDefault="007822C8" w:rsidP="007822C8">
            <w:pPr>
              <w:spacing w:after="0" w:line="240" w:lineRule="auto"/>
              <w:textAlignment w:val="baseline"/>
              <w:rPr>
                <w:rFonts w:ascii="Times New Roman" w:eastAsia="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14:paraId="1EEC2DD5" w14:textId="77777777" w:rsidR="007822C8" w:rsidRDefault="007822C8" w:rsidP="007822C8">
            <w:pPr>
              <w:spacing w:after="0" w:line="240" w:lineRule="auto"/>
              <w:rPr>
                <w:rFonts w:eastAsia="Calibri" w:cs="Arial"/>
                <w:color w:val="000000"/>
              </w:rPr>
            </w:pPr>
            <w:r w:rsidRPr="006501BB">
              <w:rPr>
                <w:rFonts w:eastAsia="Calibri" w:cs="Arial"/>
                <w:color w:val="000000"/>
              </w:rPr>
              <w:t>The remedial measures employed include the reallocation of funds between different funding sources, and the general strengthening of the use of internal sources for funding.</w:t>
            </w:r>
          </w:p>
          <w:p w14:paraId="65A704E4" w14:textId="77777777" w:rsidR="007822C8" w:rsidRDefault="007822C8" w:rsidP="007822C8">
            <w:pPr>
              <w:spacing w:after="0" w:line="240" w:lineRule="auto"/>
              <w:rPr>
                <w:rFonts w:eastAsia="Calibri" w:cs="Arial"/>
                <w:color w:val="000000"/>
              </w:rPr>
            </w:pPr>
            <w:r w:rsidRPr="006501BB">
              <w:rPr>
                <w:rFonts w:eastAsia="Calibri" w:cs="Arial"/>
                <w:color w:val="000000"/>
              </w:rPr>
              <w:t>Remedial measures employed include the reallocation of funds between different funding sources, the general strengthening of the use of internal sources for funding, and the bulk purchase of procurement items.</w:t>
            </w:r>
          </w:p>
          <w:p w14:paraId="04C3C68F" w14:textId="537387BA" w:rsidR="007822C8" w:rsidRPr="00EB0417" w:rsidRDefault="007822C8" w:rsidP="007822C8">
            <w:pPr>
              <w:spacing w:after="0" w:line="240" w:lineRule="auto"/>
              <w:textAlignment w:val="baseline"/>
              <w:rPr>
                <w:rFonts w:ascii="Times New Roman" w:eastAsia="Times New Roman" w:hAnsi="Times New Roman" w:cs="Times New Roman"/>
                <w:sz w:val="24"/>
                <w:szCs w:val="24"/>
              </w:rPr>
            </w:pPr>
            <w:r w:rsidRPr="006501BB">
              <w:rPr>
                <w:rFonts w:eastAsia="Calibri" w:cs="Arial"/>
                <w:color w:val="000000"/>
              </w:rPr>
              <w:t>The remedial measures employed include the attention to value for money during the procurement process and the utilization of an open, competitive and transparent procurement system.</w:t>
            </w:r>
          </w:p>
        </w:tc>
        <w:tc>
          <w:tcPr>
            <w:tcW w:w="3450" w:type="dxa"/>
            <w:tcBorders>
              <w:top w:val="nil"/>
              <w:left w:val="single" w:sz="4" w:space="0" w:color="auto"/>
              <w:bottom w:val="single" w:sz="6" w:space="0" w:color="auto"/>
              <w:right w:val="single" w:sz="6" w:space="0" w:color="auto"/>
            </w:tcBorders>
            <w:shd w:val="clear" w:color="auto" w:fill="auto"/>
            <w:hideMark/>
          </w:tcPr>
          <w:p w14:paraId="65A51FC2" w14:textId="361C462D" w:rsidR="007822C8" w:rsidRPr="00EB0417" w:rsidRDefault="007822C8" w:rsidP="007822C8">
            <w:pPr>
              <w:spacing w:after="0" w:line="240" w:lineRule="auto"/>
              <w:textAlignment w:val="baseline"/>
              <w:rPr>
                <w:rFonts w:ascii="Times New Roman" w:eastAsia="Times New Roman" w:hAnsi="Times New Roman" w:cs="Times New Roman"/>
                <w:sz w:val="24"/>
                <w:szCs w:val="24"/>
              </w:rPr>
            </w:pPr>
            <w:r w:rsidRPr="000F21B9">
              <w:t>NTP</w:t>
            </w:r>
          </w:p>
        </w:tc>
      </w:tr>
      <w:tr w:rsidR="007822C8" w:rsidRPr="00EB0417" w14:paraId="0D0CB9FC" w14:textId="77777777" w:rsidTr="003964FC">
        <w:trPr>
          <w:trHeight w:val="390"/>
          <w:jc w:val="center"/>
        </w:trPr>
        <w:tc>
          <w:tcPr>
            <w:tcW w:w="3450" w:type="dxa"/>
            <w:tcBorders>
              <w:top w:val="single" w:sz="4" w:space="0" w:color="auto"/>
              <w:left w:val="single" w:sz="4" w:space="0" w:color="auto"/>
              <w:bottom w:val="single" w:sz="4" w:space="0" w:color="auto"/>
              <w:right w:val="single" w:sz="4" w:space="0" w:color="auto"/>
            </w:tcBorders>
          </w:tcPr>
          <w:p w14:paraId="122ACFCD" w14:textId="77777777" w:rsidR="007822C8" w:rsidRDefault="007822C8" w:rsidP="007822C8">
            <w:pPr>
              <w:spacing w:after="0" w:line="276" w:lineRule="auto"/>
              <w:jc w:val="center"/>
              <w:rPr>
                <w:rFonts w:eastAsia="Calibri" w:cs="Arial"/>
                <w:bCs/>
                <w:iCs/>
                <w:sz w:val="20"/>
                <w:szCs w:val="20"/>
              </w:rPr>
            </w:pPr>
            <w:r>
              <w:rPr>
                <w:rFonts w:eastAsia="Calibri" w:cs="Arial"/>
                <w:bCs/>
                <w:iCs/>
                <w:sz w:val="20"/>
                <w:szCs w:val="20"/>
              </w:rPr>
              <w:t>H</w:t>
            </w:r>
            <w:r w:rsidRPr="006501BB">
              <w:rPr>
                <w:rFonts w:eastAsia="Calibri" w:cs="Arial"/>
                <w:bCs/>
                <w:iCs/>
                <w:sz w:val="20"/>
                <w:szCs w:val="20"/>
              </w:rPr>
              <w:t>ealth services and health product quality</w:t>
            </w:r>
            <w:r>
              <w:rPr>
                <w:rFonts w:eastAsia="Calibri" w:cs="Arial"/>
                <w:bCs/>
                <w:iCs/>
                <w:sz w:val="20"/>
                <w:szCs w:val="20"/>
              </w:rPr>
              <w:t>:</w:t>
            </w:r>
          </w:p>
          <w:p w14:paraId="0F72AE2A" w14:textId="77777777" w:rsidR="007822C8" w:rsidRPr="006B7572" w:rsidRDefault="007822C8" w:rsidP="007822C8">
            <w:pPr>
              <w:spacing w:after="0" w:line="276" w:lineRule="auto"/>
              <w:jc w:val="center"/>
              <w:rPr>
                <w:rFonts w:eastAsia="SimSun" w:cs="Arial"/>
                <w:color w:val="A6A6A6"/>
                <w:sz w:val="20"/>
                <w:szCs w:val="20"/>
                <w:lang w:eastAsia="zh-CN"/>
              </w:rPr>
            </w:pPr>
          </w:p>
          <w:p w14:paraId="3D9027B2" w14:textId="77777777" w:rsidR="007822C8" w:rsidRPr="006501BB" w:rsidRDefault="007822C8" w:rsidP="00141FFC">
            <w:pPr>
              <w:numPr>
                <w:ilvl w:val="0"/>
                <w:numId w:val="20"/>
              </w:numPr>
              <w:spacing w:after="200" w:line="276" w:lineRule="auto"/>
              <w:ind w:right="59"/>
              <w:contextualSpacing/>
              <w:rPr>
                <w:rFonts w:eastAsia="Calibri" w:cs="Arial"/>
                <w:color w:val="000000"/>
              </w:rPr>
            </w:pPr>
            <w:r w:rsidRPr="006501BB">
              <w:rPr>
                <w:rFonts w:eastAsia="Calibri" w:cs="Arial"/>
                <w:color w:val="000000"/>
              </w:rPr>
              <w:t xml:space="preserve">Risks resulting from natural calamities. These risks are considered to be of medium likelihood and high impact for the program. </w:t>
            </w:r>
          </w:p>
          <w:p w14:paraId="5E4FB878" w14:textId="77777777" w:rsidR="007822C8" w:rsidRPr="006501BB" w:rsidRDefault="007822C8" w:rsidP="00141FFC">
            <w:pPr>
              <w:numPr>
                <w:ilvl w:val="0"/>
                <w:numId w:val="20"/>
              </w:numPr>
              <w:spacing w:after="200" w:line="276" w:lineRule="auto"/>
              <w:ind w:right="59"/>
              <w:contextualSpacing/>
              <w:rPr>
                <w:rFonts w:eastAsia="Calibri" w:cs="Arial"/>
                <w:color w:val="000000"/>
              </w:rPr>
            </w:pPr>
            <w:r w:rsidRPr="006501BB">
              <w:rPr>
                <w:rFonts w:eastAsia="Calibri" w:cs="Arial"/>
                <w:color w:val="000000"/>
              </w:rPr>
              <w:t xml:space="preserve">Risk related to the use of LMIS. These risks are considered to be of medium likelihood and of </w:t>
            </w:r>
            <w:r w:rsidRPr="006501BB">
              <w:rPr>
                <w:rFonts w:eastAsia="Calibri" w:cs="Arial"/>
                <w:color w:val="000000"/>
              </w:rPr>
              <w:lastRenderedPageBreak/>
              <w:t xml:space="preserve">low impact for the program. </w:t>
            </w:r>
          </w:p>
          <w:p w14:paraId="4BA09247" w14:textId="3364C782" w:rsidR="007822C8" w:rsidRPr="007822C8" w:rsidRDefault="007822C8" w:rsidP="00141FFC">
            <w:pPr>
              <w:pStyle w:val="ListParagraph"/>
              <w:numPr>
                <w:ilvl w:val="0"/>
                <w:numId w:val="20"/>
              </w:numPr>
              <w:spacing w:after="0" w:line="240" w:lineRule="auto"/>
              <w:textAlignment w:val="baseline"/>
              <w:rPr>
                <w:rFonts w:eastAsia="Times New Roman" w:cs="Arial"/>
              </w:rPr>
            </w:pPr>
            <w:r w:rsidRPr="007822C8">
              <w:rPr>
                <w:rFonts w:eastAsia="Calibri" w:cs="Arial"/>
                <w:color w:val="000000"/>
              </w:rPr>
              <w:t xml:space="preserve">Risks for drug quality resulting from interruptions to power supplies. These risks are considered to be of medium likelihood of medium impact. </w:t>
            </w:r>
          </w:p>
        </w:tc>
        <w:tc>
          <w:tcPr>
            <w:tcW w:w="4012" w:type="dxa"/>
            <w:tcBorders>
              <w:top w:val="single" w:sz="4" w:space="0" w:color="auto"/>
              <w:left w:val="single" w:sz="4" w:space="0" w:color="auto"/>
              <w:bottom w:val="single" w:sz="4" w:space="0" w:color="auto"/>
              <w:right w:val="single" w:sz="4" w:space="0" w:color="auto"/>
            </w:tcBorders>
          </w:tcPr>
          <w:p w14:paraId="3C469FFE" w14:textId="77777777" w:rsidR="007822C8" w:rsidRDefault="007822C8" w:rsidP="007822C8">
            <w:pPr>
              <w:spacing w:after="200" w:line="276" w:lineRule="auto"/>
              <w:ind w:right="59"/>
              <w:contextualSpacing/>
              <w:rPr>
                <w:rFonts w:eastAsia="Calibri" w:cs="Arial"/>
                <w:color w:val="000000"/>
              </w:rPr>
            </w:pPr>
            <w:r w:rsidRPr="006501BB">
              <w:rPr>
                <w:rFonts w:eastAsia="Calibri" w:cs="Arial"/>
                <w:color w:val="000000"/>
              </w:rPr>
              <w:lastRenderedPageBreak/>
              <w:t>Remedial measures include the strengthening of emergency preparedness procedures, and the provision of adequate buffer stocks for procurement items.</w:t>
            </w:r>
          </w:p>
          <w:p w14:paraId="7C749DF9" w14:textId="77777777" w:rsidR="007822C8" w:rsidRDefault="007822C8" w:rsidP="007822C8">
            <w:pPr>
              <w:spacing w:after="200" w:line="276" w:lineRule="auto"/>
              <w:ind w:right="59"/>
              <w:contextualSpacing/>
              <w:rPr>
                <w:rFonts w:eastAsia="Calibri" w:cs="Arial"/>
                <w:color w:val="000000"/>
              </w:rPr>
            </w:pPr>
            <w:r w:rsidRPr="006501BB">
              <w:rPr>
                <w:rFonts w:eastAsia="Calibri" w:cs="Arial"/>
                <w:color w:val="000000"/>
              </w:rPr>
              <w:t>Remedial measures include further software development and intensified training on data management.</w:t>
            </w:r>
          </w:p>
          <w:p w14:paraId="20DD5D55" w14:textId="77777777" w:rsidR="007822C8" w:rsidRPr="006501BB" w:rsidRDefault="007822C8" w:rsidP="007822C8">
            <w:pPr>
              <w:spacing w:after="200" w:line="276" w:lineRule="auto"/>
              <w:ind w:right="59"/>
              <w:contextualSpacing/>
              <w:rPr>
                <w:rFonts w:eastAsia="Calibri" w:cs="Arial"/>
                <w:color w:val="000000"/>
              </w:rPr>
            </w:pPr>
            <w:r w:rsidRPr="006501BB">
              <w:rPr>
                <w:rFonts w:eastAsia="Calibri" w:cs="Arial"/>
                <w:color w:val="000000"/>
              </w:rPr>
              <w:t>The remedial measure employed is the provision of power generators for backup during power blackout periods.</w:t>
            </w:r>
          </w:p>
          <w:p w14:paraId="675253BA" w14:textId="77777777" w:rsidR="007822C8" w:rsidRPr="006501BB" w:rsidRDefault="007822C8" w:rsidP="007822C8">
            <w:pPr>
              <w:spacing w:after="200" w:line="276" w:lineRule="auto"/>
              <w:ind w:right="59"/>
              <w:contextualSpacing/>
              <w:rPr>
                <w:rFonts w:eastAsia="Calibri" w:cs="Arial"/>
                <w:color w:val="000000"/>
              </w:rPr>
            </w:pPr>
          </w:p>
          <w:p w14:paraId="5C62FC35" w14:textId="77777777" w:rsidR="007822C8" w:rsidRPr="006501BB" w:rsidRDefault="007822C8" w:rsidP="007822C8">
            <w:pPr>
              <w:spacing w:after="200" w:line="276" w:lineRule="auto"/>
              <w:ind w:right="59"/>
              <w:contextualSpacing/>
              <w:rPr>
                <w:rFonts w:eastAsia="Calibri" w:cs="Arial"/>
                <w:color w:val="000000"/>
              </w:rPr>
            </w:pPr>
          </w:p>
          <w:p w14:paraId="6A1891F8" w14:textId="77777777" w:rsidR="007822C8" w:rsidRPr="00EB0417" w:rsidRDefault="007822C8" w:rsidP="007822C8">
            <w:pPr>
              <w:spacing w:after="0" w:line="240" w:lineRule="auto"/>
              <w:textAlignment w:val="baseline"/>
              <w:rPr>
                <w:rFonts w:eastAsia="Times New Roman" w:cs="Arial"/>
              </w:rPr>
            </w:pPr>
          </w:p>
        </w:tc>
        <w:tc>
          <w:tcPr>
            <w:tcW w:w="3450" w:type="dxa"/>
            <w:tcBorders>
              <w:top w:val="nil"/>
              <w:left w:val="single" w:sz="4" w:space="0" w:color="auto"/>
              <w:bottom w:val="single" w:sz="6" w:space="0" w:color="auto"/>
              <w:right w:val="single" w:sz="6" w:space="0" w:color="auto"/>
            </w:tcBorders>
            <w:shd w:val="clear" w:color="auto" w:fill="auto"/>
          </w:tcPr>
          <w:p w14:paraId="4BA4D1AD" w14:textId="75BCFCD1" w:rsidR="007822C8" w:rsidRPr="00EB0417" w:rsidRDefault="007822C8" w:rsidP="007822C8">
            <w:pPr>
              <w:spacing w:after="0" w:line="240" w:lineRule="auto"/>
              <w:textAlignment w:val="baseline"/>
              <w:rPr>
                <w:rFonts w:eastAsia="Times New Roman" w:cs="Arial"/>
              </w:rPr>
            </w:pPr>
            <w:r w:rsidRPr="000F21B9">
              <w:t>NTP</w:t>
            </w:r>
          </w:p>
        </w:tc>
      </w:tr>
      <w:tr w:rsidR="007822C8" w:rsidRPr="00EB0417" w14:paraId="6ED96246" w14:textId="77777777" w:rsidTr="003964FC">
        <w:trPr>
          <w:trHeight w:val="390"/>
          <w:jc w:val="center"/>
        </w:trPr>
        <w:tc>
          <w:tcPr>
            <w:tcW w:w="3450" w:type="dxa"/>
            <w:tcBorders>
              <w:top w:val="single" w:sz="4" w:space="0" w:color="auto"/>
              <w:left w:val="single" w:sz="4" w:space="0" w:color="auto"/>
              <w:bottom w:val="single" w:sz="4" w:space="0" w:color="auto"/>
              <w:right w:val="single" w:sz="4" w:space="0" w:color="auto"/>
            </w:tcBorders>
          </w:tcPr>
          <w:p w14:paraId="5C725DD6" w14:textId="77777777" w:rsidR="007822C8" w:rsidRDefault="007822C8" w:rsidP="007822C8">
            <w:pPr>
              <w:spacing w:after="0" w:line="276" w:lineRule="auto"/>
              <w:jc w:val="center"/>
              <w:rPr>
                <w:rFonts w:eastAsia="Calibri" w:cs="Arial"/>
                <w:bCs/>
                <w:iCs/>
                <w:sz w:val="20"/>
                <w:szCs w:val="20"/>
              </w:rPr>
            </w:pPr>
            <w:r>
              <w:rPr>
                <w:rFonts w:eastAsia="Calibri" w:cs="Arial"/>
                <w:bCs/>
                <w:iCs/>
                <w:sz w:val="20"/>
                <w:szCs w:val="20"/>
              </w:rPr>
              <w:lastRenderedPageBreak/>
              <w:t>G</w:t>
            </w:r>
            <w:r w:rsidRPr="006501BB">
              <w:rPr>
                <w:rFonts w:eastAsia="Calibri" w:cs="Arial"/>
                <w:bCs/>
                <w:iCs/>
                <w:sz w:val="20"/>
                <w:szCs w:val="20"/>
              </w:rPr>
              <w:t>overnance, oversight and management</w:t>
            </w:r>
            <w:r>
              <w:rPr>
                <w:rFonts w:eastAsia="Calibri" w:cs="Arial"/>
                <w:bCs/>
                <w:iCs/>
                <w:sz w:val="20"/>
                <w:szCs w:val="20"/>
              </w:rPr>
              <w:t xml:space="preserve">: </w:t>
            </w:r>
          </w:p>
          <w:p w14:paraId="2A86B9C1" w14:textId="77777777" w:rsidR="007822C8" w:rsidRPr="006B7572" w:rsidRDefault="007822C8" w:rsidP="007822C8">
            <w:pPr>
              <w:spacing w:after="0" w:line="276" w:lineRule="auto"/>
              <w:jc w:val="center"/>
              <w:rPr>
                <w:rFonts w:eastAsia="SimSun" w:cs="Arial"/>
                <w:color w:val="A6A6A6"/>
                <w:sz w:val="20"/>
                <w:szCs w:val="20"/>
                <w:lang w:eastAsia="zh-CN"/>
              </w:rPr>
            </w:pPr>
          </w:p>
          <w:p w14:paraId="0D90E0E1" w14:textId="77777777" w:rsidR="007822C8" w:rsidRPr="006501BB" w:rsidRDefault="007822C8" w:rsidP="00141FFC">
            <w:pPr>
              <w:numPr>
                <w:ilvl w:val="0"/>
                <w:numId w:val="21"/>
              </w:numPr>
              <w:spacing w:after="200" w:line="276" w:lineRule="auto"/>
              <w:ind w:right="59"/>
              <w:contextualSpacing/>
              <w:rPr>
                <w:rFonts w:eastAsia="Calibri" w:cs="Arial"/>
                <w:color w:val="000000"/>
              </w:rPr>
            </w:pPr>
            <w:r w:rsidRPr="006501BB">
              <w:rPr>
                <w:rFonts w:eastAsia="Calibri" w:cs="Arial"/>
                <w:color w:val="000000"/>
              </w:rPr>
              <w:t xml:space="preserve">Risks resulting from the interruption or termination of currently existing partnerships. This risk is considered to be of low likelihood and of high impact for the program. </w:t>
            </w:r>
          </w:p>
          <w:p w14:paraId="5EC57C61" w14:textId="0A0FE152" w:rsidR="007822C8" w:rsidRPr="007822C8" w:rsidRDefault="007822C8" w:rsidP="00141FFC">
            <w:pPr>
              <w:pStyle w:val="ListParagraph"/>
              <w:numPr>
                <w:ilvl w:val="0"/>
                <w:numId w:val="21"/>
              </w:numPr>
              <w:spacing w:after="0" w:line="240" w:lineRule="auto"/>
              <w:textAlignment w:val="baseline"/>
              <w:rPr>
                <w:rFonts w:eastAsia="Times New Roman" w:cs="Arial"/>
              </w:rPr>
            </w:pPr>
            <w:r w:rsidRPr="007822C8">
              <w:rPr>
                <w:rFonts w:eastAsia="Calibri" w:cs="Arial"/>
                <w:color w:val="000000"/>
              </w:rPr>
              <w:t xml:space="preserve">Risks related to insufficient oversight by technical experts. This risk is considered to be of low likelihood and of high impact. Risks related to internal control mechanisms. These risks are considered to be of low likelihood and of high impact. </w:t>
            </w:r>
          </w:p>
        </w:tc>
        <w:tc>
          <w:tcPr>
            <w:tcW w:w="4012" w:type="dxa"/>
            <w:tcBorders>
              <w:top w:val="single" w:sz="4" w:space="0" w:color="auto"/>
              <w:left w:val="single" w:sz="4" w:space="0" w:color="auto"/>
              <w:bottom w:val="single" w:sz="4" w:space="0" w:color="auto"/>
              <w:right w:val="single" w:sz="4" w:space="0" w:color="auto"/>
            </w:tcBorders>
          </w:tcPr>
          <w:p w14:paraId="1E43C881" w14:textId="77777777" w:rsidR="007822C8" w:rsidRDefault="007822C8" w:rsidP="007822C8">
            <w:pPr>
              <w:spacing w:after="0" w:line="240" w:lineRule="auto"/>
              <w:rPr>
                <w:rFonts w:eastAsia="Calibri" w:cs="Arial"/>
                <w:color w:val="000000"/>
              </w:rPr>
            </w:pPr>
            <w:r w:rsidRPr="006501BB">
              <w:rPr>
                <w:rFonts w:eastAsia="Calibri" w:cs="Arial"/>
                <w:color w:val="000000"/>
              </w:rPr>
              <w:t>The remedial measure employed is a further development of partnership structures, following the model used for PPM activities.</w:t>
            </w:r>
          </w:p>
          <w:p w14:paraId="296FBBCE" w14:textId="77777777" w:rsidR="007822C8" w:rsidRDefault="007822C8" w:rsidP="007822C8">
            <w:pPr>
              <w:spacing w:after="200" w:line="276" w:lineRule="auto"/>
              <w:ind w:right="59"/>
              <w:contextualSpacing/>
              <w:rPr>
                <w:rFonts w:eastAsia="Calibri" w:cs="Arial"/>
                <w:color w:val="000000"/>
              </w:rPr>
            </w:pPr>
            <w:r w:rsidRPr="006501BB">
              <w:rPr>
                <w:rFonts w:eastAsia="Calibri" w:cs="Arial"/>
                <w:color w:val="000000"/>
              </w:rPr>
              <w:t>The remedial measures employed include the strengthening of the CCM oversight mechanism, the establishment of a CCM committee focusing on technical oversight requirements, and the clear description of requirements for technical assistance in a technical assistance plan to be developed by the technical committee.</w:t>
            </w:r>
          </w:p>
          <w:p w14:paraId="3E84977E" w14:textId="77777777" w:rsidR="007822C8" w:rsidRPr="006501BB" w:rsidRDefault="007822C8" w:rsidP="007822C8">
            <w:pPr>
              <w:spacing w:after="200" w:line="276" w:lineRule="auto"/>
              <w:ind w:right="59"/>
              <w:contextualSpacing/>
              <w:rPr>
                <w:rFonts w:eastAsia="Calibri" w:cs="Arial"/>
                <w:color w:val="000000"/>
              </w:rPr>
            </w:pPr>
            <w:r w:rsidRPr="006501BB">
              <w:rPr>
                <w:rFonts w:eastAsia="Calibri" w:cs="Arial"/>
                <w:color w:val="000000"/>
              </w:rPr>
              <w:t>The remedial measures employed include the further development of the existing internal control system.</w:t>
            </w:r>
          </w:p>
          <w:p w14:paraId="59418328" w14:textId="77777777" w:rsidR="007822C8" w:rsidRPr="00EB0417" w:rsidRDefault="007822C8" w:rsidP="007822C8">
            <w:pPr>
              <w:spacing w:after="0" w:line="240" w:lineRule="auto"/>
              <w:textAlignment w:val="baseline"/>
              <w:rPr>
                <w:rFonts w:eastAsia="Times New Roman" w:cs="Arial"/>
              </w:rPr>
            </w:pPr>
          </w:p>
        </w:tc>
        <w:tc>
          <w:tcPr>
            <w:tcW w:w="3450" w:type="dxa"/>
            <w:tcBorders>
              <w:top w:val="nil"/>
              <w:left w:val="single" w:sz="4" w:space="0" w:color="auto"/>
              <w:bottom w:val="single" w:sz="6" w:space="0" w:color="auto"/>
              <w:right w:val="single" w:sz="6" w:space="0" w:color="auto"/>
            </w:tcBorders>
            <w:shd w:val="clear" w:color="auto" w:fill="auto"/>
          </w:tcPr>
          <w:p w14:paraId="41518147" w14:textId="6E3BE146" w:rsidR="007822C8" w:rsidRPr="00EB0417" w:rsidRDefault="007822C8" w:rsidP="007822C8">
            <w:pPr>
              <w:spacing w:after="0" w:line="240" w:lineRule="auto"/>
              <w:textAlignment w:val="baseline"/>
              <w:rPr>
                <w:rFonts w:eastAsia="Times New Roman" w:cs="Arial"/>
              </w:rPr>
            </w:pPr>
            <w:r w:rsidRPr="000F21B9">
              <w:t>NTP</w:t>
            </w:r>
          </w:p>
        </w:tc>
      </w:tr>
      <w:tr w:rsidR="00EB0417" w:rsidRPr="00EB0417" w14:paraId="7EAA4284" w14:textId="77777777" w:rsidTr="003964FC">
        <w:trPr>
          <w:trHeight w:val="390"/>
          <w:jc w:val="center"/>
        </w:trPr>
        <w:tc>
          <w:tcPr>
            <w:tcW w:w="3450" w:type="dxa"/>
            <w:tcBorders>
              <w:top w:val="single" w:sz="4" w:space="0" w:color="auto"/>
              <w:left w:val="single" w:sz="6" w:space="0" w:color="auto"/>
              <w:bottom w:val="single" w:sz="6" w:space="0" w:color="auto"/>
              <w:right w:val="single" w:sz="6" w:space="0" w:color="auto"/>
            </w:tcBorders>
            <w:shd w:val="clear" w:color="auto" w:fill="auto"/>
            <w:hideMark/>
          </w:tcPr>
          <w:p w14:paraId="0C1A4EA0" w14:textId="1B915696" w:rsidR="00EB0417" w:rsidRPr="00EB0417" w:rsidRDefault="00346E26" w:rsidP="0057108F">
            <w:pPr>
              <w:spacing w:after="0" w:line="240" w:lineRule="auto"/>
              <w:textAlignment w:val="baseline"/>
              <w:rPr>
                <w:rFonts w:ascii="Times New Roman" w:eastAsia="Times New Roman" w:hAnsi="Times New Roman" w:cs="Times New Roman"/>
                <w:sz w:val="24"/>
                <w:szCs w:val="24"/>
              </w:rPr>
            </w:pPr>
            <w:r>
              <w:rPr>
                <w:rFonts w:eastAsia="Times New Roman" w:cs="Arial"/>
                <w:i/>
                <w:iCs/>
              </w:rPr>
              <w:t xml:space="preserve"> </w:t>
            </w:r>
            <w:r w:rsidR="00EB0417" w:rsidRPr="00EB0417">
              <w:rPr>
                <w:rFonts w:eastAsia="Times New Roman" w:cs="Arial"/>
                <w:i/>
                <w:iCs/>
              </w:rPr>
              <w:t>Add rows as needed</w:t>
            </w:r>
            <w:r w:rsidR="00EB0417" w:rsidRPr="00EB0417">
              <w:rPr>
                <w:rFonts w:eastAsia="Times New Roman" w:cs="Arial"/>
              </w:rPr>
              <w:t> </w:t>
            </w:r>
          </w:p>
        </w:tc>
        <w:tc>
          <w:tcPr>
            <w:tcW w:w="4012" w:type="dxa"/>
            <w:tcBorders>
              <w:top w:val="single" w:sz="4" w:space="0" w:color="auto"/>
              <w:left w:val="nil"/>
              <w:bottom w:val="single" w:sz="6" w:space="0" w:color="auto"/>
              <w:right w:val="single" w:sz="6" w:space="0" w:color="auto"/>
            </w:tcBorders>
            <w:shd w:val="clear" w:color="auto" w:fill="auto"/>
            <w:hideMark/>
          </w:tcPr>
          <w:p w14:paraId="6846FCEE"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rPr>
              <w:t> </w:t>
            </w:r>
          </w:p>
        </w:tc>
        <w:tc>
          <w:tcPr>
            <w:tcW w:w="3450" w:type="dxa"/>
            <w:tcBorders>
              <w:top w:val="nil"/>
              <w:left w:val="nil"/>
              <w:bottom w:val="single" w:sz="6" w:space="0" w:color="auto"/>
              <w:right w:val="single" w:sz="6" w:space="0" w:color="auto"/>
            </w:tcBorders>
            <w:shd w:val="clear" w:color="auto" w:fill="auto"/>
            <w:hideMark/>
          </w:tcPr>
          <w:p w14:paraId="0662282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rPr>
              <w:t> </w:t>
            </w:r>
          </w:p>
        </w:tc>
      </w:tr>
      <w:bookmarkEnd w:id="42"/>
    </w:tbl>
    <w:p w14:paraId="16360569" w14:textId="77777777" w:rsidR="0092780F" w:rsidRDefault="0092780F" w:rsidP="0057108F">
      <w:pPr>
        <w:pStyle w:val="NormalNoSpace"/>
      </w:pPr>
    </w:p>
    <w:p w14:paraId="1CC16FDE" w14:textId="45BA46AC" w:rsidR="00517B2C" w:rsidRPr="002A28CE" w:rsidRDefault="00353B5B" w:rsidP="0057108F">
      <w:pPr>
        <w:pStyle w:val="Heading1"/>
      </w:pPr>
      <w:r>
        <w:t xml:space="preserve">Section 4: </w:t>
      </w:r>
      <w:r w:rsidR="00517B2C" w:rsidRPr="002A28CE">
        <w:t>Co-Financing, Sustainability and Transition</w:t>
      </w:r>
    </w:p>
    <w:p w14:paraId="03C69FD1" w14:textId="77777777" w:rsidR="0092780F" w:rsidRDefault="0092780F" w:rsidP="0057108F">
      <w:pPr>
        <w:spacing w:after="0"/>
        <w:jc w:val="both"/>
      </w:pPr>
    </w:p>
    <w:p w14:paraId="5583D46B" w14:textId="6CB0E08D" w:rsidR="00822515" w:rsidRDefault="00822515" w:rsidP="0057108F">
      <w:pPr>
        <w:spacing w:after="0"/>
        <w:jc w:val="both"/>
      </w:pPr>
      <w:r>
        <w:t xml:space="preserve">To respond to the questions below, refer to the </w:t>
      </w:r>
      <w:r w:rsidRPr="00DD3612">
        <w:rPr>
          <w:i/>
        </w:rPr>
        <w:t>Instructions</w:t>
      </w:r>
      <w:r>
        <w:t>,</w:t>
      </w:r>
      <w:r w:rsidRPr="00CD7709">
        <w:t xml:space="preserve"> the</w:t>
      </w:r>
      <w:r>
        <w:t xml:space="preserve"> domestic financing section of the</w:t>
      </w:r>
      <w:r w:rsidRPr="00CD7709">
        <w:rPr>
          <w:b/>
        </w:rPr>
        <w:t xml:space="preserve"> allocation letter</w:t>
      </w:r>
      <w:bookmarkStart w:id="43" w:name="_Hlk13737743"/>
      <w:r>
        <w:t xml:space="preserve">, </w:t>
      </w:r>
      <w:bookmarkStart w:id="44" w:name="_Hlk14421843"/>
      <w:r w:rsidRPr="00CD7709">
        <w:rPr>
          <w:b/>
        </w:rPr>
        <w:t xml:space="preserve">the </w:t>
      </w:r>
      <w:hyperlink r:id="rId17" w:history="1">
        <w:r w:rsidRPr="00571BEA">
          <w:rPr>
            <w:rStyle w:val="Hyperlink"/>
            <w:rFonts w:cs="Arial"/>
          </w:rPr>
          <w:t>Sustainability, Transition and Co-Financing Guidance Note</w:t>
        </w:r>
      </w:hyperlink>
      <w:r w:rsidRPr="00CD7709">
        <w:rPr>
          <w:b/>
        </w:rPr>
        <w:t>,</w:t>
      </w:r>
      <w:bookmarkEnd w:id="44"/>
      <w:r>
        <w:rPr>
          <w:b/>
        </w:rPr>
        <w:t xml:space="preserve"> </w:t>
      </w:r>
      <w:r w:rsidRPr="00D02225">
        <w:rPr>
          <w:b/>
        </w:rPr>
        <w:t>Funding Landscape Table(s), Programma</w:t>
      </w:r>
      <w:r>
        <w:rPr>
          <w:b/>
        </w:rPr>
        <w:t>tic Gap T</w:t>
      </w:r>
      <w:r w:rsidRPr="00D02225">
        <w:rPr>
          <w:b/>
        </w:rPr>
        <w:t>ables(s)</w:t>
      </w:r>
      <w:r>
        <w:t xml:space="preserve">, </w:t>
      </w:r>
      <w:r w:rsidRPr="00CD7709">
        <w:rPr>
          <w:b/>
        </w:rPr>
        <w:t xml:space="preserve">and </w:t>
      </w:r>
      <w:r>
        <w:rPr>
          <w:b/>
        </w:rPr>
        <w:t>a sustainability plan and/or t</w:t>
      </w:r>
      <w:r w:rsidRPr="00CD7709">
        <w:rPr>
          <w:b/>
        </w:rPr>
        <w:t>ransi</w:t>
      </w:r>
      <w:r>
        <w:rPr>
          <w:b/>
        </w:rPr>
        <w:t>tion work-p</w:t>
      </w:r>
      <w:r w:rsidRPr="00CD7709">
        <w:rPr>
          <w:b/>
        </w:rPr>
        <w:t>lan</w:t>
      </w:r>
      <w:r>
        <w:t>, if available</w:t>
      </w:r>
      <w:r w:rsidR="00997450">
        <w:rPr>
          <w:rStyle w:val="FootnoteReference"/>
        </w:rPr>
        <w:footnoteReference w:id="7"/>
      </w:r>
      <w:r>
        <w:t xml:space="preserve">. </w:t>
      </w:r>
    </w:p>
    <w:bookmarkEnd w:id="43"/>
    <w:p w14:paraId="2BD42A04" w14:textId="02E43D73" w:rsidR="00412A61" w:rsidRDefault="00412A61" w:rsidP="0057108F">
      <w:pPr>
        <w:spacing w:after="0" w:line="240" w:lineRule="auto"/>
        <w:rPr>
          <w:rStyle w:val="eop"/>
          <w:rFonts w:cs="Arial"/>
          <w:color w:val="000000"/>
          <w:shd w:val="clear" w:color="auto" w:fill="FFFFFF"/>
        </w:rPr>
      </w:pPr>
    </w:p>
    <w:p w14:paraId="2F3FA8EB" w14:textId="1E255A0A" w:rsidR="00DE57C7" w:rsidRPr="00DE57C7" w:rsidRDefault="00DE57C7" w:rsidP="00141FFC">
      <w:pPr>
        <w:pStyle w:val="Heading2"/>
        <w:numPr>
          <w:ilvl w:val="1"/>
          <w:numId w:val="4"/>
        </w:numPr>
        <w:spacing w:after="0"/>
      </w:pPr>
      <w:r>
        <w:t xml:space="preserve">Co-Financing </w:t>
      </w:r>
    </w:p>
    <w:p w14:paraId="2A1096C5" w14:textId="2682DFEB" w:rsidR="0092780F" w:rsidRPr="0092780F" w:rsidRDefault="0092780F" w:rsidP="0057108F">
      <w:pPr>
        <w:pStyle w:val="ListParagraph"/>
        <w:spacing w:after="0" w:line="240" w:lineRule="auto"/>
        <w:ind w:left="360"/>
        <w:contextualSpacing w:val="0"/>
        <w:rPr>
          <w:rFonts w:eastAsia="SimSun" w:cs="Arial"/>
          <w:lang w:eastAsia="zh-CN"/>
        </w:rPr>
      </w:pPr>
    </w:p>
    <w:p w14:paraId="38401624" w14:textId="285D748C" w:rsidR="00316923" w:rsidRPr="00EA4516" w:rsidRDefault="0005544C" w:rsidP="00141FFC">
      <w:pPr>
        <w:pStyle w:val="ListParagraph"/>
        <w:numPr>
          <w:ilvl w:val="0"/>
          <w:numId w:val="1"/>
        </w:numPr>
        <w:spacing w:after="0" w:line="240" w:lineRule="auto"/>
        <w:contextualSpacing w:val="0"/>
        <w:rPr>
          <w:rFonts w:eastAsia="SimSun" w:cs="Arial"/>
          <w:lang w:eastAsia="zh-CN"/>
        </w:rPr>
      </w:pPr>
      <w:r>
        <w:rPr>
          <w:rFonts w:eastAsia="Times New Roman" w:cs="Arial"/>
        </w:rPr>
        <w:t xml:space="preserve">Have </w:t>
      </w:r>
      <w:r w:rsidRPr="002A28CE">
        <w:rPr>
          <w:rFonts w:eastAsia="Times New Roman" w:cs="Arial"/>
          <w:b/>
        </w:rPr>
        <w:t>co-financing</w:t>
      </w:r>
      <w:r w:rsidR="00316923" w:rsidRPr="002A28CE">
        <w:rPr>
          <w:rFonts w:eastAsia="Times New Roman" w:cs="Arial"/>
          <w:b/>
        </w:rPr>
        <w:t xml:space="preserve"> commitments</w:t>
      </w:r>
      <w:r w:rsidR="00316923" w:rsidRPr="00385C4E">
        <w:rPr>
          <w:rFonts w:eastAsia="Times New Roman" w:cs="Arial"/>
        </w:rPr>
        <w:t xml:space="preserve"> for </w:t>
      </w:r>
      <w:r w:rsidR="00F7668C">
        <w:rPr>
          <w:rFonts w:eastAsia="Times New Roman" w:cs="Arial"/>
        </w:rPr>
        <w:t xml:space="preserve">the </w:t>
      </w:r>
      <w:r w:rsidR="00F7668C" w:rsidRPr="002A28CE">
        <w:rPr>
          <w:rFonts w:eastAsia="Times New Roman" w:cs="Arial"/>
          <w:b/>
        </w:rPr>
        <w:t>current</w:t>
      </w:r>
      <w:r w:rsidR="00316923" w:rsidRPr="00385C4E">
        <w:rPr>
          <w:rFonts w:eastAsia="Times New Roman" w:cs="Arial"/>
        </w:rPr>
        <w:t xml:space="preserve"> allocation period been realized?</w:t>
      </w:r>
    </w:p>
    <w:p w14:paraId="244CE3DF" w14:textId="77777777" w:rsidR="00EA4516" w:rsidRPr="00CF0E24" w:rsidRDefault="00EA4516" w:rsidP="00EA4516">
      <w:pPr>
        <w:pStyle w:val="ListParagraph"/>
        <w:spacing w:after="0" w:line="240" w:lineRule="auto"/>
        <w:ind w:left="360"/>
        <w:contextualSpacing w:val="0"/>
        <w:rPr>
          <w:rFonts w:eastAsia="SimSun" w:cs="Arial"/>
          <w:lang w:eastAsia="zh-CN"/>
        </w:rPr>
      </w:pPr>
    </w:p>
    <w:p w14:paraId="0D9E2398" w14:textId="0D039124" w:rsidR="00517B2C" w:rsidRPr="00385C4E" w:rsidRDefault="00600B6B" w:rsidP="0057108F">
      <w:pPr>
        <w:pStyle w:val="ListParagraph"/>
        <w:spacing w:after="0" w:line="240" w:lineRule="auto"/>
        <w:ind w:left="360"/>
        <w:contextualSpacing w:val="0"/>
        <w:rPr>
          <w:rFonts w:cs="Arial"/>
          <w:bCs/>
          <w:iCs/>
        </w:rPr>
      </w:pPr>
      <w:sdt>
        <w:sdtPr>
          <w:rPr>
            <w:rFonts w:ascii="Segoe UI Symbol" w:eastAsia="MS Gothic" w:hAnsi="Segoe UI Symbol" w:cs="Segoe UI Symbol"/>
            <w:bCs/>
            <w:iCs/>
          </w:rPr>
          <w:id w:val="924852934"/>
          <w14:checkbox>
            <w14:checked w14:val="1"/>
            <w14:checkedState w14:val="2612" w14:font="MS Gothic"/>
            <w14:uncheckedState w14:val="2610" w14:font="MS Gothic"/>
          </w14:checkbox>
        </w:sdtPr>
        <w:sdtEndPr/>
        <w:sdtContent>
          <w:r w:rsidR="007822C8">
            <w:rPr>
              <w:rFonts w:ascii="MS Gothic" w:eastAsia="MS Gothic" w:hAnsi="MS Gothic" w:cs="Segoe UI Symbol" w:hint="eastAsia"/>
              <w:bCs/>
              <w:iCs/>
            </w:rPr>
            <w:t>☒</w:t>
          </w:r>
        </w:sdtContent>
      </w:sdt>
      <w:r w:rsidR="00517B2C" w:rsidRPr="00385C4E">
        <w:rPr>
          <w:rFonts w:cs="Arial"/>
          <w:bCs/>
          <w:iCs/>
        </w:rPr>
        <w:t xml:space="preserve"> Yes         </w:t>
      </w:r>
      <w:sdt>
        <w:sdtPr>
          <w:rPr>
            <w:rFonts w:ascii="Segoe UI Symbol" w:hAnsi="Segoe UI Symbol" w:cs="Segoe UI Symbol"/>
            <w:bCs/>
            <w:iCs/>
          </w:rPr>
          <w:id w:val="1334948662"/>
          <w14:checkbox>
            <w14:checked w14:val="0"/>
            <w14:checkedState w14:val="2612" w14:font="MS Gothic"/>
            <w14:uncheckedState w14:val="2610" w14:font="MS Gothic"/>
          </w14:checkbox>
        </w:sdtPr>
        <w:sdtEndPr/>
        <w:sdtContent>
          <w:r w:rsidR="00517B2C" w:rsidRPr="00385C4E">
            <w:rPr>
              <w:rFonts w:ascii="Segoe UI Symbol" w:hAnsi="Segoe UI Symbol" w:cs="Segoe UI Symbol"/>
              <w:bCs/>
              <w:iCs/>
            </w:rPr>
            <w:t>☐</w:t>
          </w:r>
        </w:sdtContent>
      </w:sdt>
      <w:r w:rsidR="00517B2C" w:rsidRPr="00385C4E">
        <w:rPr>
          <w:rFonts w:cs="Arial"/>
          <w:bCs/>
          <w:iCs/>
        </w:rPr>
        <w:t xml:space="preserve"> No</w:t>
      </w:r>
    </w:p>
    <w:p w14:paraId="06C840C2" w14:textId="77777777" w:rsidR="00517B2C" w:rsidRPr="006C238F" w:rsidRDefault="00517B2C" w:rsidP="0057108F">
      <w:pPr>
        <w:pStyle w:val="ListParagraph"/>
        <w:spacing w:after="0" w:line="240" w:lineRule="auto"/>
        <w:ind w:left="996"/>
        <w:contextualSpacing w:val="0"/>
        <w:rPr>
          <w:rFonts w:eastAsia="Times New Roman" w:cs="Arial"/>
        </w:rPr>
      </w:pPr>
    </w:p>
    <w:p w14:paraId="4B691157" w14:textId="1496071F" w:rsidR="00AF5C9D" w:rsidRDefault="00EF60BF" w:rsidP="00EA4516">
      <w:pPr>
        <w:spacing w:after="0" w:line="240" w:lineRule="auto"/>
        <w:ind w:left="360"/>
        <w:rPr>
          <w:rFonts w:eastAsia="Times New Roman" w:cs="Arial"/>
        </w:rPr>
      </w:pPr>
      <w:r>
        <w:rPr>
          <w:rFonts w:eastAsia="Times New Roman" w:cs="Arial"/>
        </w:rPr>
        <w:t xml:space="preserve">If </w:t>
      </w:r>
      <w:r w:rsidRPr="002948FE">
        <w:rPr>
          <w:rFonts w:eastAsia="Times New Roman" w:cs="Arial"/>
          <w:b/>
        </w:rPr>
        <w:t>yes</w:t>
      </w:r>
      <w:r>
        <w:rPr>
          <w:rFonts w:eastAsia="Times New Roman" w:cs="Arial"/>
        </w:rPr>
        <w:t xml:space="preserve">, </w:t>
      </w:r>
      <w:r w:rsidR="00AF5C9D" w:rsidRPr="00AF5C9D">
        <w:rPr>
          <w:rFonts w:eastAsia="Times New Roman" w:cs="Arial"/>
        </w:rPr>
        <w:t xml:space="preserve">attach </w:t>
      </w:r>
      <w:r w:rsidR="0005544C">
        <w:rPr>
          <w:rFonts w:eastAsia="Times New Roman" w:cs="Arial"/>
        </w:rPr>
        <w:t xml:space="preserve">supporting </w:t>
      </w:r>
      <w:r w:rsidR="00AF5C9D" w:rsidRPr="00AF5C9D">
        <w:rPr>
          <w:rFonts w:eastAsia="Times New Roman" w:cs="Arial"/>
        </w:rPr>
        <w:t>documentation demonstratin</w:t>
      </w:r>
      <w:r w:rsidR="00DC23C9">
        <w:rPr>
          <w:rFonts w:eastAsia="Times New Roman" w:cs="Arial"/>
        </w:rPr>
        <w:t>g the extent to which co-financing</w:t>
      </w:r>
      <w:r w:rsidR="00AF5C9D" w:rsidRPr="00AF5C9D">
        <w:rPr>
          <w:rFonts w:eastAsia="Times New Roman" w:cs="Arial"/>
        </w:rPr>
        <w:t xml:space="preserve"> commitments have been met. </w:t>
      </w:r>
    </w:p>
    <w:p w14:paraId="5A9BE7B5" w14:textId="77777777" w:rsidR="00E95B28" w:rsidRPr="00AF5C9D" w:rsidRDefault="00E95B28" w:rsidP="00EA4516">
      <w:pPr>
        <w:spacing w:after="0" w:line="240" w:lineRule="auto"/>
        <w:ind w:left="360"/>
        <w:rPr>
          <w:rFonts w:eastAsia="Times New Roman" w:cs="Arial"/>
        </w:rPr>
      </w:pPr>
    </w:p>
    <w:p w14:paraId="18CB1FA8" w14:textId="24B7F10A" w:rsidR="00EF60BF" w:rsidRDefault="00AF5C9D" w:rsidP="00EA4516">
      <w:pPr>
        <w:pStyle w:val="ListParagraph"/>
        <w:spacing w:after="0" w:line="240" w:lineRule="auto"/>
        <w:ind w:left="360"/>
        <w:contextualSpacing w:val="0"/>
        <w:rPr>
          <w:rFonts w:eastAsia="Times New Roman" w:cs="Arial"/>
        </w:rPr>
      </w:pPr>
      <w:r w:rsidRPr="00AF5C9D">
        <w:rPr>
          <w:rFonts w:eastAsia="Times New Roman" w:cs="Arial"/>
        </w:rPr>
        <w:t xml:space="preserve">If </w:t>
      </w:r>
      <w:r w:rsidRPr="002948FE">
        <w:rPr>
          <w:rFonts w:eastAsia="Times New Roman" w:cs="Arial"/>
          <w:b/>
        </w:rPr>
        <w:t>no</w:t>
      </w:r>
      <w:r w:rsidRPr="00AF5C9D">
        <w:rPr>
          <w:rFonts w:eastAsia="Times New Roman" w:cs="Arial"/>
        </w:rPr>
        <w:t xml:space="preserve">, </w:t>
      </w:r>
      <w:r w:rsidR="00381C57">
        <w:rPr>
          <w:rFonts w:eastAsia="Times New Roman" w:cs="Arial"/>
        </w:rPr>
        <w:t>explain why</w:t>
      </w:r>
      <w:r w:rsidRPr="00AF5C9D">
        <w:rPr>
          <w:rFonts w:eastAsia="Times New Roman" w:cs="Arial"/>
        </w:rPr>
        <w:t xml:space="preserve"> and outline the impact of this situation on the </w:t>
      </w:r>
      <w:r w:rsidR="00907565">
        <w:rPr>
          <w:rFonts w:eastAsia="Times New Roman" w:cs="Arial"/>
        </w:rPr>
        <w:t>program</w:t>
      </w:r>
      <w:r w:rsidR="00517B2C">
        <w:rPr>
          <w:rFonts w:eastAsia="Times New Roman" w:cs="Arial"/>
        </w:rPr>
        <w:t>:</w:t>
      </w:r>
    </w:p>
    <w:p w14:paraId="3FA6DD8F" w14:textId="77777777" w:rsidR="00E95B28" w:rsidRDefault="00E95B28" w:rsidP="0057108F">
      <w:pPr>
        <w:pStyle w:val="ListParagraph"/>
        <w:spacing w:after="0" w:line="240" w:lineRule="auto"/>
        <w:ind w:left="0"/>
        <w:contextualSpacing w:val="0"/>
        <w:rPr>
          <w:rFonts w:eastAsia="Times New Roman" w:cs="Arial"/>
        </w:rPr>
      </w:pPr>
    </w:p>
    <w:tbl>
      <w:tblPr>
        <w:tblStyle w:val="TableGrid"/>
        <w:tblW w:w="0" w:type="auto"/>
        <w:tblLook w:val="04A0" w:firstRow="1" w:lastRow="0" w:firstColumn="1" w:lastColumn="0" w:noHBand="0" w:noVBand="1"/>
      </w:tblPr>
      <w:tblGrid>
        <w:gridCol w:w="10456"/>
      </w:tblGrid>
      <w:tr w:rsidR="000B5867" w14:paraId="4A8561AD" w14:textId="77777777" w:rsidTr="00CC3B8C">
        <w:tc>
          <w:tcPr>
            <w:tcW w:w="10790" w:type="dxa"/>
          </w:tcPr>
          <w:p w14:paraId="438A3CD5" w14:textId="77777777" w:rsidR="000B5867" w:rsidRDefault="000B5867" w:rsidP="0057108F">
            <w:pPr>
              <w:rPr>
                <w:rFonts w:cs="Arial"/>
              </w:rPr>
            </w:pPr>
            <w:r>
              <w:rPr>
                <w:rFonts w:cs="Arial"/>
              </w:rPr>
              <w:t>[Applicant response]</w:t>
            </w:r>
          </w:p>
          <w:p w14:paraId="294C9830" w14:textId="77777777" w:rsidR="000B5867" w:rsidRDefault="000B5867" w:rsidP="0057108F">
            <w:pPr>
              <w:rPr>
                <w:rFonts w:cs="Arial"/>
              </w:rPr>
            </w:pPr>
          </w:p>
          <w:p w14:paraId="7A7736FC" w14:textId="77777777" w:rsidR="000B5867" w:rsidRDefault="000B5867" w:rsidP="0057108F">
            <w:pPr>
              <w:rPr>
                <w:rFonts w:cs="Arial"/>
              </w:rPr>
            </w:pPr>
          </w:p>
        </w:tc>
      </w:tr>
    </w:tbl>
    <w:p w14:paraId="7F3B12B6" w14:textId="406A9D64" w:rsidR="0092780F" w:rsidRPr="00EA4516" w:rsidRDefault="0092780F" w:rsidP="00EA4516">
      <w:pPr>
        <w:spacing w:after="0" w:line="240" w:lineRule="auto"/>
        <w:rPr>
          <w:rFonts w:eastAsia="SimSun" w:cs="Arial"/>
          <w:lang w:eastAsia="zh-CN"/>
        </w:rPr>
      </w:pPr>
      <w:bookmarkStart w:id="45" w:name="_Hlk13581385"/>
    </w:p>
    <w:p w14:paraId="11B8627A" w14:textId="34CEA0A7" w:rsidR="00517B2C" w:rsidRPr="00EA4516" w:rsidRDefault="00E61284" w:rsidP="00141FFC">
      <w:pPr>
        <w:pStyle w:val="ListParagraph"/>
        <w:numPr>
          <w:ilvl w:val="0"/>
          <w:numId w:val="1"/>
        </w:numPr>
        <w:spacing w:after="0" w:line="240" w:lineRule="auto"/>
        <w:contextualSpacing w:val="0"/>
        <w:rPr>
          <w:rFonts w:eastAsia="SimSun" w:cs="Arial"/>
          <w:lang w:eastAsia="zh-CN"/>
        </w:rPr>
      </w:pPr>
      <w:r w:rsidRPr="00385C4E">
        <w:rPr>
          <w:rFonts w:eastAsia="Times New Roman" w:cs="Arial"/>
        </w:rPr>
        <w:lastRenderedPageBreak/>
        <w:t xml:space="preserve">Do </w:t>
      </w:r>
      <w:r w:rsidRPr="002A28CE">
        <w:rPr>
          <w:rFonts w:eastAsia="Times New Roman" w:cs="Arial"/>
          <w:b/>
        </w:rPr>
        <w:t>co-financi</w:t>
      </w:r>
      <w:r w:rsidR="00F7668C" w:rsidRPr="002A28CE">
        <w:rPr>
          <w:rFonts w:eastAsia="Times New Roman" w:cs="Arial"/>
          <w:b/>
        </w:rPr>
        <w:t>ng commitments</w:t>
      </w:r>
      <w:r w:rsidR="00F7668C">
        <w:rPr>
          <w:rFonts w:eastAsia="Times New Roman" w:cs="Arial"/>
        </w:rPr>
        <w:t xml:space="preserve"> for the</w:t>
      </w:r>
      <w:r w:rsidR="00F7668C" w:rsidRPr="002A28CE">
        <w:rPr>
          <w:rFonts w:eastAsia="Times New Roman" w:cs="Arial"/>
          <w:b/>
        </w:rPr>
        <w:t xml:space="preserve"> next</w:t>
      </w:r>
      <w:r w:rsidRPr="00385C4E">
        <w:rPr>
          <w:rFonts w:eastAsia="Times New Roman" w:cs="Arial"/>
        </w:rPr>
        <w:t xml:space="preserve"> allocation period meet minimum requirements to fully access the co-financing incentive</w:t>
      </w:r>
      <w:r w:rsidR="001079C7">
        <w:rPr>
          <w:rFonts w:eastAsia="Times New Roman" w:cs="Arial"/>
        </w:rPr>
        <w:t>?</w:t>
      </w:r>
      <w:r w:rsidR="00517B2C" w:rsidRPr="00385C4E">
        <w:rPr>
          <w:rFonts w:eastAsia="Times New Roman" w:cs="Arial"/>
        </w:rPr>
        <w:t xml:space="preserve"> </w:t>
      </w:r>
    </w:p>
    <w:p w14:paraId="75F5FACF" w14:textId="77777777" w:rsidR="00EA4516" w:rsidRPr="00CF0E24" w:rsidRDefault="00EA4516" w:rsidP="00EA4516">
      <w:pPr>
        <w:pStyle w:val="ListParagraph"/>
        <w:spacing w:after="0" w:line="240" w:lineRule="auto"/>
        <w:ind w:left="360"/>
        <w:contextualSpacing w:val="0"/>
        <w:rPr>
          <w:rFonts w:eastAsia="SimSun" w:cs="Arial"/>
          <w:lang w:eastAsia="zh-CN"/>
        </w:rPr>
      </w:pPr>
    </w:p>
    <w:p w14:paraId="69A6A814" w14:textId="2A29FE3B" w:rsidR="00517B2C" w:rsidRPr="00385C4E" w:rsidRDefault="00600B6B" w:rsidP="0057108F">
      <w:pPr>
        <w:pStyle w:val="ListParagraph"/>
        <w:spacing w:after="0" w:line="240" w:lineRule="auto"/>
        <w:ind w:left="360"/>
        <w:contextualSpacing w:val="0"/>
        <w:rPr>
          <w:rFonts w:cs="Arial"/>
          <w:bCs/>
          <w:iCs/>
        </w:rPr>
      </w:pPr>
      <w:sdt>
        <w:sdtPr>
          <w:rPr>
            <w:rFonts w:ascii="Segoe UI Symbol" w:eastAsia="MS Gothic" w:hAnsi="Segoe UI Symbol" w:cs="Segoe UI Symbol"/>
            <w:bCs/>
            <w:iCs/>
          </w:rPr>
          <w:id w:val="-1936279169"/>
          <w14:checkbox>
            <w14:checked w14:val="1"/>
            <w14:checkedState w14:val="2612" w14:font="MS Gothic"/>
            <w14:uncheckedState w14:val="2610" w14:font="MS Gothic"/>
          </w14:checkbox>
        </w:sdtPr>
        <w:sdtEndPr/>
        <w:sdtContent>
          <w:r w:rsidR="007822C8">
            <w:rPr>
              <w:rFonts w:ascii="MS Gothic" w:eastAsia="MS Gothic" w:hAnsi="MS Gothic" w:cs="Segoe UI Symbol" w:hint="eastAsia"/>
              <w:bCs/>
              <w:iCs/>
            </w:rPr>
            <w:t>☒</w:t>
          </w:r>
        </w:sdtContent>
      </w:sdt>
      <w:r w:rsidR="00517B2C" w:rsidRPr="00385C4E">
        <w:rPr>
          <w:rFonts w:cs="Arial"/>
          <w:bCs/>
          <w:iCs/>
        </w:rPr>
        <w:t xml:space="preserve"> Yes         </w:t>
      </w:r>
      <w:sdt>
        <w:sdtPr>
          <w:rPr>
            <w:rFonts w:ascii="Segoe UI Symbol" w:hAnsi="Segoe UI Symbol" w:cs="Segoe UI Symbol"/>
            <w:bCs/>
            <w:iCs/>
          </w:rPr>
          <w:id w:val="-1870989213"/>
          <w14:checkbox>
            <w14:checked w14:val="0"/>
            <w14:checkedState w14:val="2612" w14:font="MS Gothic"/>
            <w14:uncheckedState w14:val="2610" w14:font="MS Gothic"/>
          </w14:checkbox>
        </w:sdtPr>
        <w:sdtEndPr/>
        <w:sdtContent>
          <w:r w:rsidR="00517B2C" w:rsidRPr="00385C4E">
            <w:rPr>
              <w:rFonts w:ascii="Segoe UI Symbol" w:hAnsi="Segoe UI Symbol" w:cs="Segoe UI Symbol"/>
              <w:bCs/>
              <w:iCs/>
            </w:rPr>
            <w:t>☐</w:t>
          </w:r>
        </w:sdtContent>
      </w:sdt>
      <w:r w:rsidR="00517B2C" w:rsidRPr="00385C4E">
        <w:rPr>
          <w:rFonts w:cs="Arial"/>
          <w:bCs/>
          <w:iCs/>
        </w:rPr>
        <w:t xml:space="preserve"> No</w:t>
      </w:r>
    </w:p>
    <w:p w14:paraId="398AE53A" w14:textId="77777777" w:rsidR="00130E79" w:rsidRDefault="00130E79" w:rsidP="0057108F">
      <w:pPr>
        <w:spacing w:after="0"/>
        <w:rPr>
          <w:rFonts w:cs="Arial"/>
          <w:bCs/>
          <w:iCs/>
        </w:rPr>
      </w:pPr>
    </w:p>
    <w:p w14:paraId="544C960D" w14:textId="7F8E7C84" w:rsidR="00AB4077" w:rsidRDefault="00AB4077" w:rsidP="00EA4516">
      <w:pPr>
        <w:spacing w:after="0" w:line="240" w:lineRule="auto"/>
        <w:ind w:left="360"/>
        <w:textAlignment w:val="baseline"/>
        <w:rPr>
          <w:rFonts w:eastAsia="SimSun" w:cs="Arial"/>
        </w:rPr>
      </w:pPr>
      <w:r w:rsidRPr="00AB4077">
        <w:rPr>
          <w:rFonts w:eastAsia="SimSun" w:cs="Arial"/>
        </w:rPr>
        <w:t>If details on commitments are available, attach supporting documentation demonstrating the extent to which co-financing commitments have been made.  </w:t>
      </w:r>
    </w:p>
    <w:p w14:paraId="184BDA14" w14:textId="77777777" w:rsidR="00E95B28" w:rsidRPr="00AB4077" w:rsidRDefault="00E95B28" w:rsidP="00EA4516">
      <w:pPr>
        <w:spacing w:after="0" w:line="240" w:lineRule="auto"/>
        <w:ind w:left="360"/>
        <w:textAlignment w:val="baseline"/>
        <w:rPr>
          <w:rFonts w:ascii="SimSun" w:eastAsia="SimSun" w:hAnsi="SimSun" w:cs="Times New Roman"/>
        </w:rPr>
      </w:pPr>
    </w:p>
    <w:p w14:paraId="3755FA0F" w14:textId="30F9EA23" w:rsidR="002D5132" w:rsidRDefault="003E3E64" w:rsidP="00EA4516">
      <w:pPr>
        <w:spacing w:after="0"/>
        <w:ind w:left="360"/>
        <w:rPr>
          <w:rFonts w:eastAsia="Times New Roman" w:cs="Arial"/>
        </w:rPr>
      </w:pPr>
      <w:r w:rsidRPr="006F14D2">
        <w:rPr>
          <w:rFonts w:eastAsia="Times New Roman" w:cs="Arial"/>
        </w:rPr>
        <w:t>If co-financing commitments do not meet minimum requirements, explain why.</w:t>
      </w:r>
    </w:p>
    <w:p w14:paraId="7E981561" w14:textId="77777777" w:rsidR="00E95B28" w:rsidRPr="006F14D2" w:rsidRDefault="00E95B28" w:rsidP="0057108F">
      <w:pPr>
        <w:spacing w:after="0"/>
        <w:rPr>
          <w:rFonts w:eastAsia="Times New Roman" w:cs="Arial"/>
        </w:rPr>
      </w:pPr>
    </w:p>
    <w:tbl>
      <w:tblPr>
        <w:tblStyle w:val="TableGrid"/>
        <w:tblW w:w="0" w:type="auto"/>
        <w:tblLook w:val="04A0" w:firstRow="1" w:lastRow="0" w:firstColumn="1" w:lastColumn="0" w:noHBand="0" w:noVBand="1"/>
      </w:tblPr>
      <w:tblGrid>
        <w:gridCol w:w="10456"/>
      </w:tblGrid>
      <w:tr w:rsidR="000B5867" w14:paraId="09CAFC1F" w14:textId="77777777" w:rsidTr="00CC3B8C">
        <w:tc>
          <w:tcPr>
            <w:tcW w:w="10790" w:type="dxa"/>
          </w:tcPr>
          <w:p w14:paraId="7866F447" w14:textId="77777777" w:rsidR="000B5867" w:rsidRDefault="000B5867" w:rsidP="0057108F">
            <w:pPr>
              <w:rPr>
                <w:rFonts w:cs="Arial"/>
              </w:rPr>
            </w:pPr>
            <w:r>
              <w:rPr>
                <w:rFonts w:cs="Arial"/>
              </w:rPr>
              <w:t>[Applicant response]</w:t>
            </w:r>
          </w:p>
          <w:p w14:paraId="20B6380A" w14:textId="77777777" w:rsidR="000B5867" w:rsidRDefault="000B5867" w:rsidP="0057108F">
            <w:pPr>
              <w:rPr>
                <w:rFonts w:cs="Arial"/>
              </w:rPr>
            </w:pPr>
          </w:p>
          <w:p w14:paraId="09908F02" w14:textId="77777777" w:rsidR="000B5867" w:rsidRDefault="000B5867" w:rsidP="0057108F">
            <w:pPr>
              <w:rPr>
                <w:rFonts w:cs="Arial"/>
              </w:rPr>
            </w:pPr>
          </w:p>
        </w:tc>
      </w:tr>
    </w:tbl>
    <w:p w14:paraId="05CD76FA" w14:textId="5F66643D" w:rsidR="0092780F" w:rsidRDefault="0092780F" w:rsidP="0057108F">
      <w:pPr>
        <w:pStyle w:val="ListParagraph"/>
        <w:spacing w:after="0" w:line="240" w:lineRule="auto"/>
        <w:ind w:left="0"/>
        <w:contextualSpacing w:val="0"/>
        <w:rPr>
          <w:rFonts w:eastAsia="Times New Roman" w:cs="Arial"/>
        </w:rPr>
      </w:pPr>
    </w:p>
    <w:bookmarkEnd w:id="45"/>
    <w:p w14:paraId="63D3B1FC" w14:textId="1C9609E5" w:rsidR="00E95B28" w:rsidRPr="00EA4516" w:rsidRDefault="00381C57" w:rsidP="00141FFC">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Summarize</w:t>
      </w:r>
      <w:r w:rsidR="001079C7">
        <w:rPr>
          <w:rStyle w:val="normaltextrun"/>
          <w:rFonts w:ascii="Arial" w:hAnsi="Arial" w:cs="Arial"/>
          <w:sz w:val="22"/>
          <w:szCs w:val="22"/>
        </w:rPr>
        <w:t xml:space="preserve"> the </w:t>
      </w:r>
      <w:r w:rsidR="001079C7" w:rsidRPr="002A28CE">
        <w:rPr>
          <w:rStyle w:val="normaltextrun"/>
          <w:rFonts w:ascii="Arial" w:hAnsi="Arial" w:cs="Arial"/>
          <w:b/>
          <w:sz w:val="22"/>
          <w:szCs w:val="22"/>
        </w:rPr>
        <w:t>programmatic areas</w:t>
      </w:r>
      <w:r w:rsidR="001079C7">
        <w:rPr>
          <w:rStyle w:val="normaltextrun"/>
          <w:rFonts w:ascii="Arial" w:hAnsi="Arial" w:cs="Arial"/>
          <w:sz w:val="22"/>
          <w:szCs w:val="22"/>
        </w:rPr>
        <w:t xml:space="preserve"> to be supported by domest</w:t>
      </w:r>
      <w:r w:rsidR="00F7668C">
        <w:rPr>
          <w:rStyle w:val="normaltextrun"/>
          <w:rFonts w:ascii="Arial" w:hAnsi="Arial" w:cs="Arial"/>
          <w:sz w:val="22"/>
          <w:szCs w:val="22"/>
        </w:rPr>
        <w:t>ic co-financing in the next</w:t>
      </w:r>
      <w:r w:rsidR="001079C7">
        <w:rPr>
          <w:rStyle w:val="normaltextrun"/>
          <w:rFonts w:ascii="Arial" w:hAnsi="Arial" w:cs="Arial"/>
          <w:sz w:val="22"/>
          <w:szCs w:val="22"/>
        </w:rPr>
        <w:t xml:space="preserve"> </w:t>
      </w:r>
      <w:r>
        <w:rPr>
          <w:rStyle w:val="normaltextrun"/>
          <w:rFonts w:ascii="Arial" w:hAnsi="Arial" w:cs="Arial"/>
          <w:sz w:val="22"/>
          <w:szCs w:val="22"/>
        </w:rPr>
        <w:t>allocation period</w:t>
      </w:r>
      <w:r w:rsidR="001079C7">
        <w:rPr>
          <w:rStyle w:val="normaltextrun"/>
          <w:rFonts w:ascii="Arial" w:hAnsi="Arial" w:cs="Arial"/>
          <w:sz w:val="22"/>
          <w:szCs w:val="22"/>
        </w:rPr>
        <w:t>. In particular:</w:t>
      </w:r>
      <w:r w:rsidR="001079C7">
        <w:rPr>
          <w:rStyle w:val="eop"/>
          <w:rFonts w:ascii="Arial" w:hAnsi="Arial" w:cs="Arial"/>
          <w:sz w:val="22"/>
          <w:szCs w:val="22"/>
        </w:rPr>
        <w:t> </w:t>
      </w:r>
    </w:p>
    <w:p w14:paraId="37E55BEE" w14:textId="37D358B8" w:rsidR="006F14D2" w:rsidRDefault="001079C7" w:rsidP="00141FFC">
      <w:pPr>
        <w:pStyle w:val="paragraph"/>
        <w:numPr>
          <w:ilvl w:val="2"/>
          <w:numId w:val="1"/>
        </w:numPr>
        <w:spacing w:before="0" w:beforeAutospacing="0" w:after="0" w:afterAutospacing="0"/>
        <w:ind w:left="900"/>
        <w:textAlignment w:val="baseline"/>
        <w:rPr>
          <w:rFonts w:ascii="Arial" w:hAnsi="Arial" w:cs="Arial"/>
          <w:sz w:val="22"/>
          <w:szCs w:val="22"/>
        </w:rPr>
      </w:pPr>
      <w:r>
        <w:rPr>
          <w:rStyle w:val="normaltextrun"/>
          <w:rFonts w:ascii="Arial" w:hAnsi="Arial" w:cs="Arial"/>
          <w:sz w:val="22"/>
          <w:szCs w:val="22"/>
        </w:rPr>
        <w:t xml:space="preserve">The financing of key program costs of national disease plans and/or health systems; </w:t>
      </w:r>
    </w:p>
    <w:p w14:paraId="3175D994" w14:textId="3AA5F575" w:rsidR="001079C7" w:rsidRDefault="001079C7" w:rsidP="00141FFC">
      <w:pPr>
        <w:pStyle w:val="paragraph"/>
        <w:numPr>
          <w:ilvl w:val="2"/>
          <w:numId w:val="1"/>
        </w:numPr>
        <w:spacing w:before="0" w:beforeAutospacing="0" w:after="0" w:afterAutospacing="0"/>
        <w:ind w:left="900"/>
        <w:textAlignment w:val="baseline"/>
        <w:rPr>
          <w:rStyle w:val="eop"/>
          <w:rFonts w:ascii="Arial" w:hAnsi="Arial" w:cs="Arial"/>
          <w:sz w:val="22"/>
          <w:szCs w:val="22"/>
        </w:rPr>
      </w:pPr>
      <w:r w:rsidRPr="006F14D2">
        <w:rPr>
          <w:rStyle w:val="normaltextrun"/>
          <w:rFonts w:ascii="Arial" w:hAnsi="Arial" w:cs="Arial"/>
          <w:sz w:val="22"/>
          <w:szCs w:val="22"/>
        </w:rPr>
        <w:t xml:space="preserve">The planned </w:t>
      </w:r>
      <w:r w:rsidR="00516F69">
        <w:rPr>
          <w:rStyle w:val="normaltextrun"/>
          <w:rFonts w:ascii="Arial" w:hAnsi="Arial" w:cs="Arial"/>
          <w:sz w:val="22"/>
          <w:szCs w:val="22"/>
        </w:rPr>
        <w:t>uptake of interventions current</w:t>
      </w:r>
      <w:r w:rsidRPr="006F14D2">
        <w:rPr>
          <w:rStyle w:val="normaltextrun"/>
          <w:rFonts w:ascii="Arial" w:hAnsi="Arial" w:cs="Arial"/>
          <w:sz w:val="22"/>
          <w:szCs w:val="22"/>
        </w:rPr>
        <w:t>ly funded by the Global Fund.</w:t>
      </w:r>
      <w:r w:rsidRPr="006F14D2">
        <w:rPr>
          <w:rStyle w:val="eop"/>
          <w:rFonts w:ascii="Arial" w:hAnsi="Arial" w:cs="Arial"/>
          <w:sz w:val="22"/>
          <w:szCs w:val="22"/>
        </w:rPr>
        <w:t> </w:t>
      </w:r>
    </w:p>
    <w:p w14:paraId="0BC66CF0" w14:textId="77777777" w:rsidR="0092780F" w:rsidRPr="006F14D2" w:rsidRDefault="0092780F" w:rsidP="0057108F">
      <w:pPr>
        <w:pStyle w:val="paragraph"/>
        <w:spacing w:before="0" w:beforeAutospacing="0" w:after="0" w:afterAutospacing="0"/>
        <w:ind w:left="63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0B5867" w14:paraId="6839B357" w14:textId="77777777" w:rsidTr="00CC3B8C">
        <w:tc>
          <w:tcPr>
            <w:tcW w:w="10790" w:type="dxa"/>
          </w:tcPr>
          <w:p w14:paraId="215799BE" w14:textId="28327FB9" w:rsidR="007822C8" w:rsidRPr="007822C8" w:rsidRDefault="007822C8" w:rsidP="007822C8">
            <w:pPr>
              <w:rPr>
                <w:rFonts w:cs="Arial"/>
              </w:rPr>
            </w:pPr>
            <w:r>
              <w:rPr>
                <w:rFonts w:cs="Arial"/>
              </w:rPr>
              <w:t>During previous funding cycles, t</w:t>
            </w:r>
            <w:r w:rsidRPr="007822C8">
              <w:rPr>
                <w:rFonts w:cs="Arial"/>
              </w:rPr>
              <w:t>he GF has engaged in Intensified discussions with the MOH about increased counterpart financing for essential program components. An important result of these discussions has been a commitment by the MOH to fully finance the procurement of FLDs starting in 2018</w:t>
            </w:r>
            <w:r>
              <w:rPr>
                <w:rFonts w:cs="Arial"/>
              </w:rPr>
              <w:t xml:space="preserve">, which will be continued during the next funding cycle. This </w:t>
            </w:r>
            <w:r w:rsidRPr="007822C8">
              <w:rPr>
                <w:rFonts w:cs="Arial"/>
              </w:rPr>
              <w:t xml:space="preserve"> In addition, MOH will fully cover the following components of the NSP with a total budget of USD </w:t>
            </w:r>
            <w:r>
              <w:rPr>
                <w:rFonts w:cs="Arial"/>
              </w:rPr>
              <w:t>172</w:t>
            </w:r>
            <w:r w:rsidRPr="007822C8">
              <w:rPr>
                <w:rFonts w:cs="Arial"/>
              </w:rPr>
              <w:t xml:space="preserve"> Million During the grant implementation period 20</w:t>
            </w:r>
            <w:r>
              <w:rPr>
                <w:rFonts w:cs="Arial"/>
              </w:rPr>
              <w:t>21</w:t>
            </w:r>
            <w:r w:rsidRPr="007822C8">
              <w:rPr>
                <w:rFonts w:cs="Arial"/>
              </w:rPr>
              <w:t>-202</w:t>
            </w:r>
            <w:r>
              <w:rPr>
                <w:rFonts w:cs="Arial"/>
              </w:rPr>
              <w:t>3</w:t>
            </w:r>
            <w:r w:rsidRPr="007822C8">
              <w:rPr>
                <w:rFonts w:cs="Arial"/>
              </w:rPr>
              <w:t>:</w:t>
            </w:r>
          </w:p>
          <w:p w14:paraId="38B1BFDA" w14:textId="77777777" w:rsidR="007822C8" w:rsidRPr="007822C8" w:rsidRDefault="007822C8" w:rsidP="00141FFC">
            <w:pPr>
              <w:numPr>
                <w:ilvl w:val="0"/>
                <w:numId w:val="22"/>
              </w:numPr>
              <w:rPr>
                <w:rFonts w:cs="Arial"/>
              </w:rPr>
            </w:pPr>
            <w:r w:rsidRPr="007822C8">
              <w:rPr>
                <w:rFonts w:cs="Arial"/>
              </w:rPr>
              <w:t xml:space="preserve">Procurement of X-ray machines </w:t>
            </w:r>
          </w:p>
          <w:p w14:paraId="1619E005" w14:textId="77777777" w:rsidR="007822C8" w:rsidRPr="007822C8" w:rsidRDefault="007822C8" w:rsidP="00141FFC">
            <w:pPr>
              <w:numPr>
                <w:ilvl w:val="0"/>
                <w:numId w:val="22"/>
              </w:numPr>
              <w:rPr>
                <w:rFonts w:cs="Arial"/>
              </w:rPr>
            </w:pPr>
            <w:r w:rsidRPr="007822C8">
              <w:rPr>
                <w:rFonts w:cs="Arial"/>
              </w:rPr>
              <w:t>Procurement of  Refrigerators</w:t>
            </w:r>
          </w:p>
          <w:p w14:paraId="79B3E0C7"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X-ray Films</w:t>
            </w:r>
          </w:p>
          <w:p w14:paraId="04C31EA5"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Glass Slides</w:t>
            </w:r>
          </w:p>
          <w:p w14:paraId="4C7B463B"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Sputum cups</w:t>
            </w:r>
          </w:p>
          <w:p w14:paraId="3042184E"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Syringes</w:t>
            </w:r>
          </w:p>
          <w:p w14:paraId="72AB3E20"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Other supply &amp; Services </w:t>
            </w:r>
          </w:p>
          <w:p w14:paraId="2E7B5101" w14:textId="77777777" w:rsidR="007822C8" w:rsidRPr="007822C8" w:rsidRDefault="007822C8" w:rsidP="00141FFC">
            <w:pPr>
              <w:numPr>
                <w:ilvl w:val="0"/>
                <w:numId w:val="22"/>
              </w:numPr>
              <w:rPr>
                <w:rFonts w:cs="Arial"/>
              </w:rPr>
            </w:pPr>
            <w:proofErr w:type="spellStart"/>
            <w:r w:rsidRPr="007822C8">
              <w:rPr>
                <w:rFonts w:cs="Arial"/>
              </w:rPr>
              <w:t>Laboratoy</w:t>
            </w:r>
            <w:proofErr w:type="spellEnd"/>
            <w:r w:rsidRPr="007822C8">
              <w:rPr>
                <w:rFonts w:cs="Arial"/>
              </w:rPr>
              <w:t xml:space="preserve"> consumables- MT Test Kits </w:t>
            </w:r>
          </w:p>
          <w:p w14:paraId="4BDF651C" w14:textId="77777777" w:rsidR="007822C8" w:rsidRPr="007822C8" w:rsidRDefault="007822C8" w:rsidP="00141FFC">
            <w:pPr>
              <w:numPr>
                <w:ilvl w:val="0"/>
                <w:numId w:val="22"/>
              </w:numPr>
              <w:rPr>
                <w:rFonts w:cs="Arial"/>
              </w:rPr>
            </w:pPr>
            <w:r w:rsidRPr="007822C8">
              <w:rPr>
                <w:rFonts w:cs="Arial"/>
              </w:rPr>
              <w:t>Salary of MOH Officers at all levels of the NTP</w:t>
            </w:r>
          </w:p>
          <w:p w14:paraId="5436C387" w14:textId="77777777" w:rsidR="007822C8" w:rsidRPr="007822C8" w:rsidRDefault="007822C8" w:rsidP="00141FFC">
            <w:pPr>
              <w:numPr>
                <w:ilvl w:val="0"/>
                <w:numId w:val="22"/>
              </w:numPr>
              <w:rPr>
                <w:rFonts w:cs="Arial"/>
              </w:rPr>
            </w:pPr>
            <w:r w:rsidRPr="007822C8">
              <w:rPr>
                <w:rFonts w:cs="Arial"/>
              </w:rPr>
              <w:t>Training of staff at peripheral levels</w:t>
            </w:r>
          </w:p>
          <w:p w14:paraId="53F80282" w14:textId="77777777" w:rsidR="007822C8" w:rsidRPr="007822C8" w:rsidRDefault="007822C8" w:rsidP="00141FFC">
            <w:pPr>
              <w:numPr>
                <w:ilvl w:val="0"/>
                <w:numId w:val="22"/>
              </w:numPr>
              <w:rPr>
                <w:rFonts w:cs="Arial"/>
              </w:rPr>
            </w:pPr>
            <w:r w:rsidRPr="007822C8">
              <w:rPr>
                <w:rFonts w:cs="Arial"/>
              </w:rPr>
              <w:t xml:space="preserve">Procurement of First Line Drug (FLD) </w:t>
            </w:r>
          </w:p>
          <w:p w14:paraId="6C8527B7" w14:textId="77777777" w:rsidR="007822C8" w:rsidRPr="007822C8" w:rsidRDefault="007822C8" w:rsidP="00141FFC">
            <w:pPr>
              <w:numPr>
                <w:ilvl w:val="0"/>
                <w:numId w:val="22"/>
              </w:numPr>
              <w:rPr>
                <w:rFonts w:cs="Arial"/>
              </w:rPr>
            </w:pPr>
            <w:r w:rsidRPr="007822C8">
              <w:rPr>
                <w:rFonts w:cs="Arial"/>
              </w:rPr>
              <w:t xml:space="preserve">Procurement of First Line Loose Drug </w:t>
            </w:r>
          </w:p>
          <w:p w14:paraId="4B51864D" w14:textId="77777777" w:rsidR="007822C8" w:rsidRPr="007822C8" w:rsidRDefault="007822C8" w:rsidP="00141FFC">
            <w:pPr>
              <w:numPr>
                <w:ilvl w:val="0"/>
                <w:numId w:val="22"/>
              </w:numPr>
              <w:rPr>
                <w:rFonts w:cs="Arial"/>
              </w:rPr>
            </w:pPr>
            <w:r w:rsidRPr="007822C8">
              <w:rPr>
                <w:rFonts w:cs="Arial"/>
              </w:rPr>
              <w:t xml:space="preserve">Procurement of </w:t>
            </w:r>
            <w:proofErr w:type="spellStart"/>
            <w:r w:rsidRPr="007822C8">
              <w:rPr>
                <w:rFonts w:cs="Arial"/>
              </w:rPr>
              <w:t>Ancilliary</w:t>
            </w:r>
            <w:proofErr w:type="spellEnd"/>
            <w:r w:rsidRPr="007822C8">
              <w:rPr>
                <w:rFonts w:cs="Arial"/>
              </w:rPr>
              <w:t xml:space="preserve"> Drugs </w:t>
            </w:r>
          </w:p>
          <w:p w14:paraId="119A0454" w14:textId="77777777" w:rsidR="007822C8" w:rsidRPr="007822C8" w:rsidRDefault="007822C8" w:rsidP="00141FFC">
            <w:pPr>
              <w:numPr>
                <w:ilvl w:val="0"/>
                <w:numId w:val="22"/>
              </w:numPr>
              <w:rPr>
                <w:rFonts w:cs="Arial"/>
              </w:rPr>
            </w:pPr>
            <w:r w:rsidRPr="007822C8">
              <w:rPr>
                <w:rFonts w:cs="Arial"/>
              </w:rPr>
              <w:t>Maintenance of Vehicles</w:t>
            </w:r>
          </w:p>
          <w:p w14:paraId="5CA4C183" w14:textId="77777777" w:rsidR="007822C8" w:rsidRPr="007822C8" w:rsidRDefault="007822C8" w:rsidP="00141FFC">
            <w:pPr>
              <w:numPr>
                <w:ilvl w:val="0"/>
                <w:numId w:val="22"/>
              </w:numPr>
              <w:rPr>
                <w:rFonts w:cs="Arial"/>
              </w:rPr>
            </w:pPr>
            <w:r w:rsidRPr="007822C8">
              <w:rPr>
                <w:rFonts w:cs="Arial"/>
              </w:rPr>
              <w:t xml:space="preserve">Vehicle fuel and gas </w:t>
            </w:r>
          </w:p>
          <w:p w14:paraId="37A0A4DE" w14:textId="77777777" w:rsidR="007822C8" w:rsidRPr="007822C8" w:rsidRDefault="007822C8" w:rsidP="00141FFC">
            <w:pPr>
              <w:numPr>
                <w:ilvl w:val="0"/>
                <w:numId w:val="22"/>
              </w:numPr>
              <w:rPr>
                <w:rFonts w:cs="Arial"/>
              </w:rPr>
            </w:pPr>
            <w:r w:rsidRPr="007822C8">
              <w:rPr>
                <w:rFonts w:cs="Arial"/>
              </w:rPr>
              <w:t xml:space="preserve">Vehicle registration fees </w:t>
            </w:r>
          </w:p>
          <w:p w14:paraId="28E1B02B" w14:textId="77777777" w:rsidR="007822C8" w:rsidRPr="007822C8" w:rsidRDefault="007822C8" w:rsidP="00141FFC">
            <w:pPr>
              <w:numPr>
                <w:ilvl w:val="0"/>
                <w:numId w:val="22"/>
              </w:numPr>
              <w:rPr>
                <w:rFonts w:cs="Arial"/>
              </w:rPr>
            </w:pPr>
            <w:r w:rsidRPr="007822C8">
              <w:rPr>
                <w:rFonts w:cs="Arial"/>
              </w:rPr>
              <w:t>Procurement of motor vehicles</w:t>
            </w:r>
          </w:p>
          <w:p w14:paraId="75301B17" w14:textId="77777777" w:rsidR="007822C8" w:rsidRPr="007822C8" w:rsidRDefault="007822C8" w:rsidP="00141FFC">
            <w:pPr>
              <w:numPr>
                <w:ilvl w:val="0"/>
                <w:numId w:val="22"/>
              </w:numPr>
              <w:rPr>
                <w:rFonts w:cs="Arial"/>
              </w:rPr>
            </w:pPr>
            <w:r w:rsidRPr="007822C8">
              <w:rPr>
                <w:rFonts w:cs="Arial"/>
              </w:rPr>
              <w:t xml:space="preserve">Office equipment </w:t>
            </w:r>
          </w:p>
          <w:p w14:paraId="518C2768" w14:textId="77777777" w:rsidR="007822C8" w:rsidRPr="007822C8" w:rsidRDefault="007822C8" w:rsidP="00141FFC">
            <w:pPr>
              <w:numPr>
                <w:ilvl w:val="0"/>
                <w:numId w:val="22"/>
              </w:numPr>
              <w:rPr>
                <w:rFonts w:cs="Arial"/>
              </w:rPr>
            </w:pPr>
            <w:r w:rsidRPr="007822C8">
              <w:rPr>
                <w:rFonts w:cs="Arial"/>
              </w:rPr>
              <w:t xml:space="preserve">Telecommunications equipment </w:t>
            </w:r>
          </w:p>
          <w:p w14:paraId="08D0A9E9" w14:textId="77777777" w:rsidR="007822C8" w:rsidRPr="007822C8" w:rsidRDefault="007822C8" w:rsidP="00141FFC">
            <w:pPr>
              <w:numPr>
                <w:ilvl w:val="0"/>
                <w:numId w:val="22"/>
              </w:numPr>
              <w:rPr>
                <w:rFonts w:cs="Arial"/>
              </w:rPr>
            </w:pPr>
            <w:r w:rsidRPr="007822C8">
              <w:rPr>
                <w:rFonts w:cs="Arial"/>
              </w:rPr>
              <w:t xml:space="preserve">Furniture, </w:t>
            </w:r>
            <w:proofErr w:type="spellStart"/>
            <w:r w:rsidRPr="007822C8">
              <w:rPr>
                <w:rFonts w:cs="Arial"/>
              </w:rPr>
              <w:t>fixurest</w:t>
            </w:r>
            <w:proofErr w:type="spellEnd"/>
            <w:r w:rsidRPr="007822C8">
              <w:rPr>
                <w:rFonts w:cs="Arial"/>
              </w:rPr>
              <w:t xml:space="preserve"> and other supplies </w:t>
            </w:r>
          </w:p>
          <w:p w14:paraId="4812FD0D" w14:textId="77777777" w:rsidR="007822C8" w:rsidRPr="007822C8" w:rsidRDefault="007822C8" w:rsidP="00141FFC">
            <w:pPr>
              <w:numPr>
                <w:ilvl w:val="0"/>
                <w:numId w:val="22"/>
              </w:numPr>
              <w:rPr>
                <w:rFonts w:cs="Arial"/>
              </w:rPr>
            </w:pPr>
            <w:r w:rsidRPr="007822C8">
              <w:rPr>
                <w:rFonts w:cs="Arial"/>
              </w:rPr>
              <w:t>Second line LPA (two additional facilities)</w:t>
            </w:r>
          </w:p>
          <w:p w14:paraId="1B82B869" w14:textId="77777777" w:rsidR="007822C8" w:rsidRPr="007822C8" w:rsidRDefault="007822C8" w:rsidP="00141FFC">
            <w:pPr>
              <w:numPr>
                <w:ilvl w:val="0"/>
                <w:numId w:val="22"/>
              </w:numPr>
              <w:rPr>
                <w:rFonts w:cs="Arial"/>
              </w:rPr>
            </w:pPr>
            <w:r w:rsidRPr="007822C8">
              <w:rPr>
                <w:rFonts w:cs="Arial"/>
              </w:rPr>
              <w:t xml:space="preserve">Repair &amp; maintenance of machines/ laboratory equipment </w:t>
            </w:r>
          </w:p>
          <w:p w14:paraId="00E96213" w14:textId="77777777" w:rsidR="007822C8" w:rsidRPr="007822C8" w:rsidRDefault="007822C8" w:rsidP="00141FFC">
            <w:pPr>
              <w:numPr>
                <w:ilvl w:val="0"/>
                <w:numId w:val="22"/>
              </w:numPr>
              <w:rPr>
                <w:rFonts w:cs="Arial"/>
              </w:rPr>
            </w:pPr>
            <w:r w:rsidRPr="007822C8">
              <w:rPr>
                <w:rFonts w:cs="Arial"/>
              </w:rPr>
              <w:t>Publishing of NTP guidelines and SOPs</w:t>
            </w:r>
          </w:p>
          <w:p w14:paraId="146422C9" w14:textId="19701C0B" w:rsidR="007822C8" w:rsidRPr="007822C8" w:rsidRDefault="007822C8" w:rsidP="007822C8">
            <w:pPr>
              <w:rPr>
                <w:rFonts w:cs="Arial"/>
              </w:rPr>
            </w:pPr>
            <w:r w:rsidRPr="007822C8">
              <w:rPr>
                <w:rFonts w:cs="Arial"/>
              </w:rPr>
              <w:t xml:space="preserve">Due to the significant increase of MOH funding for TB, the overall MOH contribution to the NSP funding requirements will reach </w:t>
            </w:r>
            <w:r>
              <w:rPr>
                <w:rFonts w:cs="Arial"/>
              </w:rPr>
              <w:t>32.4</w:t>
            </w:r>
            <w:r w:rsidRPr="007822C8">
              <w:rPr>
                <w:rFonts w:cs="Arial"/>
              </w:rPr>
              <w:t>% during the 20</w:t>
            </w:r>
            <w:r>
              <w:rPr>
                <w:rFonts w:cs="Arial"/>
              </w:rPr>
              <w:t>21</w:t>
            </w:r>
            <w:r w:rsidRPr="007822C8">
              <w:rPr>
                <w:rFonts w:cs="Arial"/>
              </w:rPr>
              <w:t>-202</w:t>
            </w:r>
            <w:r>
              <w:rPr>
                <w:rFonts w:cs="Arial"/>
              </w:rPr>
              <w:t>3</w:t>
            </w:r>
            <w:r w:rsidRPr="007822C8">
              <w:rPr>
                <w:rFonts w:cs="Arial"/>
              </w:rPr>
              <w:t xml:space="preserve"> period. </w:t>
            </w:r>
            <w:r>
              <w:rPr>
                <w:rFonts w:cs="Arial"/>
              </w:rPr>
              <w:t>T</w:t>
            </w:r>
            <w:r w:rsidRPr="007822C8">
              <w:rPr>
                <w:rFonts w:cs="Arial"/>
              </w:rPr>
              <w:t xml:space="preserve">he most significant contribution of MOH funding will be </w:t>
            </w:r>
            <w:r>
              <w:rPr>
                <w:rFonts w:cs="Arial"/>
              </w:rPr>
              <w:t>in the area of TB t</w:t>
            </w:r>
            <w:r w:rsidRPr="007822C8">
              <w:rPr>
                <w:rFonts w:cs="Arial"/>
              </w:rPr>
              <w:t xml:space="preserve">reatment, where </w:t>
            </w:r>
            <w:r>
              <w:rPr>
                <w:rFonts w:cs="Arial"/>
              </w:rPr>
              <w:t>100</w:t>
            </w:r>
            <w:r w:rsidRPr="007822C8">
              <w:rPr>
                <w:rFonts w:cs="Arial"/>
              </w:rPr>
              <w:t>% of the required funding will be covered due to the MOH commitment to fully cover the funding of first line drug requirements.</w:t>
            </w:r>
          </w:p>
          <w:p w14:paraId="06E8662C" w14:textId="77777777" w:rsidR="000B5867" w:rsidRDefault="000B5867" w:rsidP="0057108F">
            <w:pPr>
              <w:rPr>
                <w:rFonts w:cs="Arial"/>
              </w:rPr>
            </w:pPr>
          </w:p>
          <w:p w14:paraId="1CA45ABD" w14:textId="77777777" w:rsidR="000B5867" w:rsidRDefault="000B5867" w:rsidP="0057108F">
            <w:pPr>
              <w:rPr>
                <w:rFonts w:cs="Arial"/>
              </w:rPr>
            </w:pPr>
          </w:p>
        </w:tc>
      </w:tr>
    </w:tbl>
    <w:p w14:paraId="08A1F0AB" w14:textId="7075D2C4" w:rsidR="00F23424" w:rsidRDefault="00F23424" w:rsidP="0057108F">
      <w:pPr>
        <w:spacing w:after="0"/>
        <w:rPr>
          <w:rFonts w:eastAsia="Times New Roman" w:cs="Arial"/>
        </w:rPr>
      </w:pPr>
    </w:p>
    <w:p w14:paraId="73238D74" w14:textId="77777777" w:rsidR="0092780F" w:rsidRDefault="0092780F" w:rsidP="0057108F">
      <w:pPr>
        <w:spacing w:after="0"/>
        <w:rPr>
          <w:rFonts w:eastAsia="Times New Roman" w:cs="Arial"/>
        </w:rPr>
      </w:pPr>
    </w:p>
    <w:p w14:paraId="376A5FB7" w14:textId="4A6AFDE0" w:rsidR="00183506" w:rsidRPr="00EA4516" w:rsidRDefault="002948FE" w:rsidP="00141FFC">
      <w:pPr>
        <w:pStyle w:val="ListParagraph"/>
        <w:numPr>
          <w:ilvl w:val="0"/>
          <w:numId w:val="1"/>
        </w:numPr>
        <w:spacing w:after="0" w:line="259" w:lineRule="auto"/>
        <w:contextualSpacing w:val="0"/>
        <w:rPr>
          <w:rFonts w:eastAsia="Times New Roman" w:cs="Arial"/>
          <w:b/>
        </w:rPr>
      </w:pPr>
      <w:bookmarkStart w:id="46" w:name="_Hlk9771620"/>
      <w:bookmarkStart w:id="47" w:name="_Hlk13581122"/>
      <w:r w:rsidRPr="002948FE">
        <w:rPr>
          <w:rFonts w:eastAsia="Times New Roman" w:cs="Arial"/>
        </w:rPr>
        <w:lastRenderedPageBreak/>
        <w:t>Specify how</w:t>
      </w:r>
      <w:r w:rsidR="002E695C">
        <w:rPr>
          <w:rFonts w:eastAsia="Times New Roman" w:cs="Arial"/>
        </w:rPr>
        <w:t xml:space="preserve"> </w:t>
      </w:r>
      <w:r w:rsidRPr="002948FE">
        <w:rPr>
          <w:rFonts w:eastAsia="Times New Roman" w:cs="Arial"/>
        </w:rPr>
        <w:t>co-financing commitments will be tracked and reported.</w:t>
      </w:r>
      <w:r w:rsidR="00183506">
        <w:rPr>
          <w:rFonts w:eastAsia="Times New Roman" w:cs="Arial"/>
        </w:rPr>
        <w:t xml:space="preserve"> If public financial management systems </w:t>
      </w:r>
      <w:r w:rsidR="00183506" w:rsidRPr="002948FE">
        <w:rPr>
          <w:rFonts w:eastAsia="Times New Roman" w:cs="Arial"/>
        </w:rPr>
        <w:t>and/or expenditure tracking mechanisms</w:t>
      </w:r>
      <w:r w:rsidR="00183506">
        <w:rPr>
          <w:rFonts w:eastAsia="Times New Roman" w:cs="Arial"/>
        </w:rPr>
        <w:t xml:space="preserve"> require strengthening and/or </w:t>
      </w:r>
      <w:r w:rsidR="002E646C" w:rsidRPr="002E646C">
        <w:rPr>
          <w:rFonts w:eastAsia="Times New Roman" w:cs="Arial"/>
        </w:rPr>
        <w:t>institutionalization</w:t>
      </w:r>
      <w:r w:rsidR="00183506">
        <w:rPr>
          <w:rFonts w:eastAsia="Times New Roman" w:cs="Arial"/>
        </w:rPr>
        <w:t>, indicate how this fun</w:t>
      </w:r>
      <w:r w:rsidR="006F14D2">
        <w:rPr>
          <w:rFonts w:eastAsia="Times New Roman" w:cs="Arial"/>
        </w:rPr>
        <w:t>ding request will address</w:t>
      </w:r>
      <w:r w:rsidR="00183506">
        <w:rPr>
          <w:rFonts w:eastAsia="Times New Roman" w:cs="Arial"/>
        </w:rPr>
        <w:t xml:space="preserve"> these needs. </w:t>
      </w:r>
    </w:p>
    <w:p w14:paraId="1B1C6D03" w14:textId="77777777" w:rsidR="00EA4516" w:rsidRPr="009347D8" w:rsidRDefault="00EA4516" w:rsidP="00EA4516">
      <w:pPr>
        <w:pStyle w:val="ListParagraph"/>
        <w:spacing w:after="0" w:line="259" w:lineRule="auto"/>
        <w:ind w:left="360"/>
        <w:contextualSpacing w:val="0"/>
        <w:rPr>
          <w:rFonts w:eastAsia="Times New Roman" w:cs="Arial"/>
          <w:b/>
        </w:rPr>
      </w:pPr>
    </w:p>
    <w:tbl>
      <w:tblPr>
        <w:tblStyle w:val="TableGrid"/>
        <w:tblW w:w="0" w:type="auto"/>
        <w:tblLook w:val="04A0" w:firstRow="1" w:lastRow="0" w:firstColumn="1" w:lastColumn="0" w:noHBand="0" w:noVBand="1"/>
      </w:tblPr>
      <w:tblGrid>
        <w:gridCol w:w="10456"/>
      </w:tblGrid>
      <w:tr w:rsidR="009347D8" w14:paraId="1F54ED20" w14:textId="77777777" w:rsidTr="007B4D94">
        <w:tc>
          <w:tcPr>
            <w:tcW w:w="10790" w:type="dxa"/>
          </w:tcPr>
          <w:p w14:paraId="32C2DB74" w14:textId="36797F55" w:rsidR="009347D8" w:rsidRDefault="00624BCF" w:rsidP="0057108F">
            <w:pPr>
              <w:rPr>
                <w:rFonts w:cs="Arial"/>
              </w:rPr>
            </w:pPr>
            <w:r>
              <w:rPr>
                <w:rFonts w:cs="Arial"/>
              </w:rPr>
              <w:t>C</w:t>
            </w:r>
            <w:r w:rsidRPr="00624BCF">
              <w:rPr>
                <w:rFonts w:cs="Arial"/>
              </w:rPr>
              <w:t>o-financing commitments will be tracked through the MOH’s financial management systems and reported</w:t>
            </w:r>
            <w:r>
              <w:rPr>
                <w:rFonts w:cs="Arial"/>
              </w:rPr>
              <w:t xml:space="preserve"> in the MOH’s annual financial reports.</w:t>
            </w:r>
          </w:p>
          <w:p w14:paraId="7869B7B8" w14:textId="77777777" w:rsidR="009347D8" w:rsidRDefault="009347D8" w:rsidP="0057108F">
            <w:pPr>
              <w:rPr>
                <w:rFonts w:cs="Arial"/>
              </w:rPr>
            </w:pPr>
          </w:p>
          <w:p w14:paraId="0ABA1219" w14:textId="77777777" w:rsidR="009347D8" w:rsidRDefault="009347D8" w:rsidP="0057108F">
            <w:pPr>
              <w:rPr>
                <w:rFonts w:cs="Arial"/>
              </w:rPr>
            </w:pPr>
          </w:p>
        </w:tc>
      </w:tr>
      <w:bookmarkEnd w:id="46"/>
      <w:bookmarkEnd w:id="47"/>
    </w:tbl>
    <w:p w14:paraId="5C4FA85C" w14:textId="565C8BC5" w:rsidR="0092780F" w:rsidRDefault="0092780F" w:rsidP="0057108F">
      <w:pPr>
        <w:spacing w:after="0"/>
        <w:rPr>
          <w:rFonts w:eastAsiaTheme="majorEastAsia" w:cstheme="majorBidi"/>
          <w:b/>
        </w:rPr>
      </w:pPr>
    </w:p>
    <w:p w14:paraId="2F6FE757" w14:textId="631CA0BF" w:rsidR="002B5EAC" w:rsidRPr="004F0FF0" w:rsidRDefault="002B5EAC" w:rsidP="00141FFC">
      <w:pPr>
        <w:pStyle w:val="Heading2"/>
        <w:numPr>
          <w:ilvl w:val="1"/>
          <w:numId w:val="4"/>
        </w:numPr>
        <w:spacing w:after="0"/>
      </w:pPr>
      <w:r w:rsidRPr="004F0FF0">
        <w:t>Sustainability and Transition</w:t>
      </w:r>
    </w:p>
    <w:p w14:paraId="0C493B55" w14:textId="77777777" w:rsidR="0092780F" w:rsidRDefault="0092780F" w:rsidP="0057108F">
      <w:pPr>
        <w:pStyle w:val="ListParagraph"/>
        <w:spacing w:after="0"/>
        <w:ind w:left="360"/>
        <w:contextualSpacing w:val="0"/>
      </w:pPr>
      <w:bookmarkStart w:id="48" w:name="_Hlk13580782"/>
    </w:p>
    <w:p w14:paraId="7B2D0C6A" w14:textId="76FABD9E" w:rsidR="002A1BC1" w:rsidRDefault="002A1BC1" w:rsidP="00141FFC">
      <w:pPr>
        <w:pStyle w:val="ListParagraph"/>
        <w:numPr>
          <w:ilvl w:val="2"/>
          <w:numId w:val="3"/>
        </w:numPr>
        <w:spacing w:after="0"/>
        <w:ind w:left="360"/>
        <w:contextualSpacing w:val="0"/>
      </w:pPr>
      <w:r>
        <w:t xml:space="preserve">Based on the analysis in the </w:t>
      </w:r>
      <w:r w:rsidRPr="00AA3A13">
        <w:rPr>
          <w:b/>
        </w:rPr>
        <w:t>Funding Landscape Table(s)</w:t>
      </w:r>
      <w:r w:rsidRPr="00D474E6">
        <w:t xml:space="preserve">, describe the funding need and anticipated funding, highlighting gaps for major program areas in the </w:t>
      </w:r>
      <w:r>
        <w:t>next</w:t>
      </w:r>
      <w:r w:rsidRPr="00D474E6">
        <w:t xml:space="preserve"> allocation period. </w:t>
      </w:r>
    </w:p>
    <w:p w14:paraId="0A422A7C" w14:textId="77777777" w:rsidR="002A1BC1" w:rsidRDefault="002A1BC1" w:rsidP="0057108F">
      <w:pPr>
        <w:pStyle w:val="ListParagraph"/>
        <w:spacing w:after="0"/>
        <w:ind w:left="360"/>
        <w:contextualSpacing w:val="0"/>
      </w:pPr>
    </w:p>
    <w:p w14:paraId="276480C9" w14:textId="77777777" w:rsidR="002A1BC1" w:rsidRPr="000C4145" w:rsidRDefault="002A1BC1" w:rsidP="0057108F">
      <w:pPr>
        <w:pStyle w:val="ListParagraph"/>
        <w:spacing w:after="0"/>
        <w:ind w:left="360"/>
        <w:contextualSpacing w:val="0"/>
      </w:pPr>
      <w:r w:rsidRPr="00D474E6">
        <w:t>Also</w:t>
      </w:r>
      <w:r>
        <w:t>,</w:t>
      </w:r>
      <w:r w:rsidRPr="00D474E6">
        <w:t xml:space="preserve"> describe how</w:t>
      </w:r>
      <w:r>
        <w:t xml:space="preserve"> </w:t>
      </w:r>
      <w:r w:rsidRPr="00187E3E">
        <w:t xml:space="preserve">(i) </w:t>
      </w:r>
      <w:r w:rsidRPr="00D474E6">
        <w:t xml:space="preserve">national authorities will work to secure additional funding or new sources of </w:t>
      </w:r>
      <w:r>
        <w:t>funding,</w:t>
      </w:r>
      <w:r w:rsidRPr="00D474E6">
        <w:t xml:space="preserve"> and</w:t>
      </w:r>
      <w:r>
        <w:t>/or</w:t>
      </w:r>
      <w:r w:rsidRPr="00D474E6">
        <w:t xml:space="preserve"> </w:t>
      </w:r>
      <w:r w:rsidRPr="00187E3E">
        <w:t>(ii)</w:t>
      </w:r>
      <w:r w:rsidRPr="00D474E6">
        <w:t xml:space="preserve"> pursue efficiencies to ensure sufficient support for key interventions, particularly those currently </w:t>
      </w:r>
      <w:r>
        <w:t>funded</w:t>
      </w:r>
      <w:r w:rsidRPr="00D474E6">
        <w:t xml:space="preserve"> by the Global Fund.</w:t>
      </w:r>
    </w:p>
    <w:p w14:paraId="55AD592A" w14:textId="77777777" w:rsidR="002A1BC1" w:rsidRPr="00D474E6" w:rsidRDefault="002A1BC1" w:rsidP="0057108F">
      <w:pPr>
        <w:pStyle w:val="ListParagraph"/>
        <w:spacing w:after="0"/>
        <w:ind w:left="360"/>
        <w:contextualSpacing w:val="0"/>
      </w:pPr>
    </w:p>
    <w:tbl>
      <w:tblPr>
        <w:tblStyle w:val="TableGrid"/>
        <w:tblW w:w="0" w:type="auto"/>
        <w:tblLook w:val="04A0" w:firstRow="1" w:lastRow="0" w:firstColumn="1" w:lastColumn="0" w:noHBand="0" w:noVBand="1"/>
      </w:tblPr>
      <w:tblGrid>
        <w:gridCol w:w="10456"/>
      </w:tblGrid>
      <w:tr w:rsidR="002A1BC1" w:rsidRPr="005305D5" w14:paraId="1456610B" w14:textId="77777777" w:rsidTr="00C71F41">
        <w:tc>
          <w:tcPr>
            <w:tcW w:w="10790" w:type="dxa"/>
          </w:tcPr>
          <w:p w14:paraId="7BFB9AB5" w14:textId="618568DF" w:rsidR="00624BCF" w:rsidRPr="00624BCF" w:rsidRDefault="00624BCF" w:rsidP="00624BCF">
            <w:r w:rsidRPr="00624BCF">
              <w:t>The total NSP funding requirements to achieve the target of &gt;90% CDR by 202</w:t>
            </w:r>
            <w:r>
              <w:t>3</w:t>
            </w:r>
            <w:r w:rsidRPr="00624BCF">
              <w:t xml:space="preserve"> are USD </w:t>
            </w:r>
            <w:r>
              <w:t xml:space="preserve">530 </w:t>
            </w:r>
            <w:r w:rsidRPr="00624BCF">
              <w:t>million over the three-year period covered under the current funding proposal (20</w:t>
            </w:r>
            <w:r>
              <w:t>21</w:t>
            </w:r>
            <w:r w:rsidRPr="00624BCF">
              <w:t>-202</w:t>
            </w:r>
            <w:r>
              <w:t>3</w:t>
            </w:r>
            <w:r w:rsidRPr="00624BCF">
              <w:t xml:space="preserve">). The GOB funding contribution is expected to be USD </w:t>
            </w:r>
            <w:r>
              <w:t>172</w:t>
            </w:r>
            <w:r w:rsidRPr="00624BCF">
              <w:t xml:space="preserve"> Million, and USAID support is expected to be around USD 2</w:t>
            </w:r>
            <w:r>
              <w:t>6</w:t>
            </w:r>
            <w:r w:rsidRPr="00624BCF">
              <w:t xml:space="preserve"> </w:t>
            </w:r>
            <w:proofErr w:type="spellStart"/>
            <w:r w:rsidRPr="00624BCF">
              <w:t>Million.As</w:t>
            </w:r>
            <w:proofErr w:type="spellEnd"/>
            <w:r w:rsidRPr="00624BCF">
              <w:t xml:space="preserve"> a result of the prioritization of increasing case detection, NSP activities linked to the </w:t>
            </w:r>
            <w:r>
              <w:t>NSP strategic area</w:t>
            </w:r>
            <w:r w:rsidRPr="00624BCF">
              <w:t xml:space="preserve"> “Increase annual case detection of all forms of TB to more than 90% of all incident </w:t>
            </w:r>
            <w:proofErr w:type="spellStart"/>
            <w:r w:rsidRPr="00624BCF">
              <w:t>cases”require</w:t>
            </w:r>
            <w:r>
              <w:t>s</w:t>
            </w:r>
            <w:proofErr w:type="spellEnd"/>
            <w:r>
              <w:t xml:space="preserve"> </w:t>
            </w:r>
            <w:r w:rsidRPr="00624BCF">
              <w:t xml:space="preserve">a funding amount that significantly exceeds all other components of the NSP. As shown in the graph below, a significant funding gap remains for this </w:t>
            </w:r>
            <w:r w:rsidR="00C356A9">
              <w:t>area</w:t>
            </w:r>
            <w:r w:rsidRPr="00624BCF">
              <w:t xml:space="preserve"> after expected contributions by the MOH and USAID are taken into account. </w:t>
            </w:r>
          </w:p>
          <w:p w14:paraId="7E6B025E" w14:textId="4DE0FD40" w:rsidR="00624BCF" w:rsidRPr="00624BCF" w:rsidRDefault="00624BCF" w:rsidP="00624BCF">
            <w:pPr>
              <w:rPr>
                <w:i/>
                <w:iCs/>
              </w:rPr>
            </w:pPr>
            <w:r w:rsidRPr="00624BCF">
              <w:rPr>
                <w:i/>
                <w:iCs/>
              </w:rPr>
              <w:t xml:space="preserve">NSP funding requirements and funding gaps by </w:t>
            </w:r>
            <w:r w:rsidR="00C356A9">
              <w:rPr>
                <w:i/>
                <w:iCs/>
              </w:rPr>
              <w:t>NSP objective</w:t>
            </w:r>
          </w:p>
          <w:p w14:paraId="6A46D0A6" w14:textId="4F1F26FE" w:rsidR="00624BCF" w:rsidRPr="00624BCF" w:rsidRDefault="00624BCF" w:rsidP="00624BCF">
            <w:r>
              <w:rPr>
                <w:noProof/>
              </w:rPr>
              <w:drawing>
                <wp:inline distT="0" distB="0" distL="0" distR="0" wp14:anchorId="174957BC" wp14:editId="3EB79B42">
                  <wp:extent cx="6556207" cy="3504445"/>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9975" cy="3506459"/>
                          </a:xfrm>
                          <a:prstGeom prst="rect">
                            <a:avLst/>
                          </a:prstGeom>
                          <a:noFill/>
                        </pic:spPr>
                      </pic:pic>
                    </a:graphicData>
                  </a:graphic>
                </wp:inline>
              </w:drawing>
            </w:r>
          </w:p>
          <w:p w14:paraId="6F0DE5DB" w14:textId="77777777" w:rsidR="002A1BC1" w:rsidRPr="005305D5" w:rsidRDefault="002A1BC1" w:rsidP="0057108F"/>
          <w:p w14:paraId="21E3A878" w14:textId="77777777" w:rsidR="00C356A9" w:rsidRDefault="00C356A9" w:rsidP="00C356A9">
            <w:r>
              <w:t>The MOHFW is aiming to achieve efficiency gains through improved budget management and fund absorption capacity (average 90%), which in turn can yield some additional financial resources.</w:t>
            </w:r>
          </w:p>
          <w:p w14:paraId="35C2C71B" w14:textId="77777777" w:rsidR="00C356A9" w:rsidRDefault="00C356A9" w:rsidP="00C356A9"/>
          <w:p w14:paraId="0C5D238A" w14:textId="77777777" w:rsidR="00C356A9" w:rsidRDefault="00C356A9" w:rsidP="00C356A9">
            <w:r>
              <w:t xml:space="preserve">8th JMM stated that, there is a lack of clarity on the financial needs for the TB response. The budget estimates for the TB –NSP are out of date and do not reflect current needs such as enhanced case finding in key population, scaling up of molecular testing and digital x-ray for TB diagnosis, preventive therapy and appears to be a perception that TB is “already being funded”, therefore domestic resources shifted away to other programs. Even when the funding from GoB is available administrative bottlenecks in fund disbursement have the potential to derail implementation of intervention. It also recommended to </w:t>
            </w:r>
            <w:r>
              <w:lastRenderedPageBreak/>
              <w:t>develop a robust and ambitious TB-NSP as primary advocacy tool (the investment case) and continue periodic review of financial availability and gaps taking into account the need to scale up of intervention.</w:t>
            </w:r>
          </w:p>
          <w:p w14:paraId="6C29189B" w14:textId="77777777" w:rsidR="00C356A9" w:rsidRDefault="00C356A9" w:rsidP="00C356A9">
            <w:r>
              <w:t>a) Organize Quarterly Financial Workshop to review the Financial Performance, future planning and cost sharing plan.</w:t>
            </w:r>
          </w:p>
          <w:p w14:paraId="7FA1EA57" w14:textId="77777777" w:rsidR="00C356A9" w:rsidRDefault="00C356A9" w:rsidP="00C356A9">
            <w:r>
              <w:t xml:space="preserve">This activity will allow NTP to sustain an efficient financial capacity within NTP which   will contribute to deliver efficiently   </w:t>
            </w:r>
            <w:proofErr w:type="gramStart"/>
            <w:r>
              <w:t>and  to</w:t>
            </w:r>
            <w:proofErr w:type="gramEnd"/>
            <w:r>
              <w:t xml:space="preserve"> identify resource gaps considering updated TB –NSP ( 2021-2025 ) , </w:t>
            </w:r>
            <w:proofErr w:type="spellStart"/>
            <w:r>
              <w:t>TBLepASP</w:t>
            </w:r>
            <w:proofErr w:type="spellEnd"/>
            <w:r>
              <w:t xml:space="preserve"> OP in 4th HPNSP and  to prioritize allocation for 5th HPNSP.</w:t>
            </w:r>
          </w:p>
          <w:p w14:paraId="01A80B83" w14:textId="77777777" w:rsidR="00C356A9" w:rsidRDefault="00C356A9" w:rsidP="00C356A9">
            <w:r>
              <w:t xml:space="preserve">b) Prepare high-level Policy Brief on TB Funding Gaps and mapping of available funding </w:t>
            </w:r>
            <w:proofErr w:type="gramStart"/>
            <w:r>
              <w:t>sources  for</w:t>
            </w:r>
            <w:proofErr w:type="gramEnd"/>
            <w:r>
              <w:t xml:space="preserve"> high level advocacy on TB Funding  .</w:t>
            </w:r>
          </w:p>
          <w:p w14:paraId="26CE5677" w14:textId="77777777" w:rsidR="00C356A9" w:rsidRDefault="00C356A9" w:rsidP="00C356A9">
            <w:r>
              <w:t>NTP prioritizing the high level policy advocacy for TB and addressing Multi accountability Framework. A periodic fact sheet on TB will be prepared as policy brief (investment case) to urge and nudge the GoB to increase more financing for TB.</w:t>
            </w:r>
          </w:p>
          <w:p w14:paraId="54D7DDB6" w14:textId="77777777" w:rsidR="00C356A9" w:rsidRDefault="00C356A9" w:rsidP="00C356A9">
            <w:r>
              <w:t xml:space="preserve">c) Conduct TB patient Cost Survey </w:t>
            </w:r>
          </w:p>
          <w:p w14:paraId="78616339" w14:textId="77777777" w:rsidR="00C356A9" w:rsidRDefault="00C356A9" w:rsidP="00C356A9">
            <w:r>
              <w:t>To measure progress towards high- level end TB Strategy target, WHO recommends baseline and periodic measurement using an indicator termed “ catastrophic  total costs due to TB’’. Measurement is based on the conduct of survey examining the costs to patients associated with TB, and can enable the estimation of the proportion of patients experiencing catastrophic costs, these are referred to as “TB patient cost survey’’. NTP already developed the protocol for conducting “TB patient cost survey’’ and planned to implement the survey. Survey findings can be used to monitor financial access barriers and inform related health and policy changes to improve TB prevention and care.</w:t>
            </w:r>
          </w:p>
          <w:p w14:paraId="4B286A9B" w14:textId="77777777" w:rsidR="00C356A9" w:rsidRDefault="00C356A9" w:rsidP="00C356A9">
            <w:r>
              <w:t xml:space="preserve">d) Organize Workshop to revise and update fully costed NSP </w:t>
            </w:r>
          </w:p>
          <w:p w14:paraId="688EA189" w14:textId="77777777" w:rsidR="00C356A9" w:rsidRDefault="00C356A9" w:rsidP="00C356A9">
            <w:r>
              <w:t>NTP Strategic Plan 2021-2025 will be reviewed and updated in 2025 to develop a prioritized list of   interventions at the scale that is needed to end TB. For this, robust consultative workshop to develop fully costed NSP to define as much as possible the choices that will be made in various funding  scenarios , by for example, indicating which interventions will be implemented if 100%, 75% 50% etc. of the resources needed to implement the TB-NSP are mobilized.</w:t>
            </w:r>
          </w:p>
          <w:p w14:paraId="0337F248" w14:textId="42D7EDD2" w:rsidR="002A1BC1" w:rsidRPr="005305D5" w:rsidRDefault="00C356A9" w:rsidP="00C356A9">
            <w:r>
              <w:t>e) Organize Workshop to develop contingency plan for disaster and climate Change and to ensure uninterrupted TB Services .</w:t>
            </w:r>
          </w:p>
        </w:tc>
      </w:tr>
    </w:tbl>
    <w:p w14:paraId="671FB243" w14:textId="6D1F267E" w:rsidR="0092780F" w:rsidRPr="005305D5" w:rsidRDefault="0092780F" w:rsidP="0057108F">
      <w:pPr>
        <w:spacing w:after="0"/>
      </w:pPr>
    </w:p>
    <w:p w14:paraId="2BD835B2" w14:textId="050F5392" w:rsidR="002A1BC1" w:rsidRPr="00D474E6" w:rsidRDefault="002A1BC1" w:rsidP="00141FFC">
      <w:pPr>
        <w:pStyle w:val="ListParagraph"/>
        <w:numPr>
          <w:ilvl w:val="2"/>
          <w:numId w:val="3"/>
        </w:numPr>
        <w:tabs>
          <w:tab w:val="left" w:pos="1800"/>
        </w:tabs>
        <w:spacing w:after="0"/>
        <w:ind w:left="360"/>
        <w:contextualSpacing w:val="0"/>
        <w:jc w:val="both"/>
      </w:pPr>
      <w:bookmarkStart w:id="49" w:name="_Hlk13735435"/>
      <w:r w:rsidRPr="00D474E6">
        <w:t xml:space="preserve">Highlight challenges related to sustainability (see indicative list in </w:t>
      </w:r>
      <w:r w:rsidRPr="00AA3A13">
        <w:rPr>
          <w:i/>
        </w:rPr>
        <w:t>Instructions</w:t>
      </w:r>
      <w:r w:rsidRPr="00D474E6">
        <w:t>). Explain how these challenges will be address</w:t>
      </w:r>
      <w:r>
        <w:t>ed</w:t>
      </w:r>
      <w:r w:rsidRPr="00D474E6">
        <w:t xml:space="preserve"> either through this funding request or other </w:t>
      </w:r>
      <w:r>
        <w:t>means</w:t>
      </w:r>
      <w:r w:rsidRPr="00D474E6">
        <w:t>.</w:t>
      </w:r>
      <w:r w:rsidRPr="00D474E6" w:rsidDel="001C4A0C">
        <w:t xml:space="preserve"> </w:t>
      </w:r>
      <w:r w:rsidRPr="00D474E6">
        <w:t>If already described in the national strategy, sustainability and/or transition plan, and/or other documentation submitted with the funding request, refer to relevant sections</w:t>
      </w:r>
      <w:r>
        <w:t xml:space="preserve"> of those documents</w:t>
      </w:r>
      <w:r w:rsidRPr="00D474E6">
        <w:t xml:space="preserve">. </w:t>
      </w:r>
    </w:p>
    <w:p w14:paraId="2090B838" w14:textId="77777777" w:rsidR="002A1BC1" w:rsidRPr="00D209BE" w:rsidRDefault="002A1BC1" w:rsidP="0057108F">
      <w:pPr>
        <w:pStyle w:val="ListParagraph"/>
        <w:spacing w:after="0"/>
        <w:ind w:left="360"/>
        <w:contextualSpacing w:val="0"/>
        <w:jc w:val="both"/>
        <w:rPr>
          <w:highlight w:val="yellow"/>
        </w:rPr>
      </w:pPr>
    </w:p>
    <w:tbl>
      <w:tblPr>
        <w:tblStyle w:val="TableGrid"/>
        <w:tblW w:w="0" w:type="auto"/>
        <w:tblLook w:val="04A0" w:firstRow="1" w:lastRow="0" w:firstColumn="1" w:lastColumn="0" w:noHBand="0" w:noVBand="1"/>
      </w:tblPr>
      <w:tblGrid>
        <w:gridCol w:w="10456"/>
      </w:tblGrid>
      <w:tr w:rsidR="002A1BC1" w:rsidRPr="005305D5" w14:paraId="7743569B" w14:textId="77777777" w:rsidTr="00C71F41">
        <w:tc>
          <w:tcPr>
            <w:tcW w:w="10790" w:type="dxa"/>
          </w:tcPr>
          <w:bookmarkEnd w:id="49"/>
          <w:p w14:paraId="6AF80BEA" w14:textId="75C48C97" w:rsidR="002A1BC1" w:rsidRPr="005305D5" w:rsidRDefault="00C356A9" w:rsidP="0057108F">
            <w:r>
              <w:t xml:space="preserve">Challenges </w:t>
            </w:r>
            <w:r w:rsidRPr="00C356A9">
              <w:t>related to sustainability</w:t>
            </w:r>
            <w:r>
              <w:t xml:space="preserve"> and the NTP’s strategic interventions to address these issues are described in section 8.5. of the NSP, “</w:t>
            </w:r>
            <w:r w:rsidRPr="00C356A9">
              <w:t>Address health care system bottlenecks preventing the delivery of effective, efficient and equitable TB services at all levels</w:t>
            </w:r>
            <w:r>
              <w:t>”.</w:t>
            </w:r>
          </w:p>
          <w:p w14:paraId="48EE0C77" w14:textId="77777777" w:rsidR="002A1BC1" w:rsidRPr="005305D5" w:rsidRDefault="002A1BC1" w:rsidP="0057108F"/>
          <w:p w14:paraId="6F60FFD4" w14:textId="46E0C102" w:rsidR="002A1BC1" w:rsidRPr="005305D5" w:rsidRDefault="002A1BC1" w:rsidP="00C356A9"/>
        </w:tc>
      </w:tr>
    </w:tbl>
    <w:p w14:paraId="6D5E7C68" w14:textId="77777777" w:rsidR="002A1BC1" w:rsidRDefault="002A1BC1" w:rsidP="0057108F">
      <w:pPr>
        <w:pStyle w:val="ListParagraph"/>
        <w:spacing w:after="0"/>
        <w:ind w:left="360"/>
        <w:contextualSpacing w:val="0"/>
      </w:pPr>
    </w:p>
    <w:p w14:paraId="71A6EE43" w14:textId="77777777" w:rsidR="005047AD" w:rsidRPr="002B5EAC" w:rsidRDefault="005047AD" w:rsidP="0057108F">
      <w:pPr>
        <w:spacing w:after="0"/>
        <w:rPr>
          <w:rFonts w:eastAsia="Times New Roman" w:cs="Arial"/>
        </w:rPr>
      </w:pPr>
    </w:p>
    <w:bookmarkEnd w:id="48"/>
    <w:p w14:paraId="714CA790" w14:textId="6AB6528B" w:rsidR="002B5EAC" w:rsidRPr="006C238F" w:rsidRDefault="00EA1A48" w:rsidP="0057108F">
      <w:pPr>
        <w:tabs>
          <w:tab w:val="left" w:pos="4730"/>
        </w:tabs>
        <w:spacing w:after="0" w:line="0" w:lineRule="auto"/>
        <w:rPr>
          <w:rFonts w:cs="Arial"/>
        </w:rPr>
      </w:pPr>
      <w:r>
        <w:rPr>
          <w:rFonts w:cs="Arial"/>
        </w:rPr>
        <w:tab/>
      </w:r>
    </w:p>
    <w:p w14:paraId="24C52AFD" w14:textId="77777777" w:rsidR="00517B2C" w:rsidRPr="006C238F" w:rsidRDefault="00517B2C" w:rsidP="0057108F">
      <w:pPr>
        <w:pStyle w:val="NoSpacing"/>
        <w:rPr>
          <w:rFonts w:eastAsiaTheme="majorEastAsia" w:cs="Arial"/>
          <w:b/>
          <w:bCs/>
          <w:noProof/>
          <w:vanish/>
        </w:rPr>
      </w:pPr>
      <w:bookmarkStart w:id="50" w:name="_Toc7081140"/>
      <w:bookmarkStart w:id="51" w:name="_Toc7081815"/>
      <w:bookmarkStart w:id="52" w:name="_Toc7082344"/>
      <w:bookmarkEnd w:id="50"/>
      <w:bookmarkEnd w:id="51"/>
      <w:bookmarkEnd w:id="52"/>
    </w:p>
    <w:p w14:paraId="3B0EE023" w14:textId="77777777" w:rsidR="00517B2C" w:rsidRPr="001079C7" w:rsidRDefault="00517B2C" w:rsidP="0057108F">
      <w:pPr>
        <w:spacing w:after="0" w:line="0" w:lineRule="auto"/>
        <w:rPr>
          <w:rFonts w:cs="Arial"/>
          <w:b/>
        </w:rPr>
      </w:pPr>
      <w:bookmarkStart w:id="53" w:name="_Toc7082346"/>
      <w:r w:rsidRPr="001079C7">
        <w:rPr>
          <w:rFonts w:cs="Arial"/>
          <w:b/>
        </w:rPr>
        <w:br w:type="page"/>
      </w:r>
      <w:bookmarkStart w:id="54" w:name="_Hlk10193288"/>
      <w:bookmarkStart w:id="55" w:name="_Hlk9713794"/>
      <w:r w:rsidRPr="001079C7">
        <w:rPr>
          <w:rFonts w:cs="Arial"/>
          <w:b/>
        </w:rPr>
        <w:lastRenderedPageBreak/>
        <w:t>ANNEX 1: DOCUMENTS CHECKLIST</w:t>
      </w:r>
      <w:bookmarkEnd w:id="53"/>
    </w:p>
    <w:p w14:paraId="44B96958" w14:textId="77777777" w:rsidR="00517B2C" w:rsidRPr="001079C7" w:rsidRDefault="00517B2C" w:rsidP="0057108F">
      <w:pPr>
        <w:pStyle w:val="Heading1"/>
      </w:pPr>
      <w:r w:rsidRPr="001079C7">
        <w:t>Annex 1: Documents Checklist</w:t>
      </w:r>
    </w:p>
    <w:p w14:paraId="180B2B84" w14:textId="77777777" w:rsidR="00517B2C" w:rsidRPr="001079C7" w:rsidRDefault="00517B2C" w:rsidP="0057108F">
      <w:pPr>
        <w:pStyle w:val="ListParagraph"/>
        <w:spacing w:after="0" w:line="360" w:lineRule="auto"/>
        <w:ind w:left="0"/>
        <w:contextualSpacing w:val="0"/>
        <w:rPr>
          <w:rFonts w:cs="Arial"/>
        </w:rPr>
      </w:pPr>
    </w:p>
    <w:bookmarkEnd w:id="54"/>
    <w:bookmarkEnd w:id="55"/>
    <w:p w14:paraId="749FE098" w14:textId="6F13572D" w:rsidR="00CA2AEE" w:rsidRDefault="00CA2AEE" w:rsidP="0057108F">
      <w:pPr>
        <w:spacing w:after="0" w:line="240" w:lineRule="auto"/>
        <w:textAlignment w:val="baseline"/>
        <w:rPr>
          <w:rFonts w:eastAsia="Times New Roman" w:cs="Arial"/>
          <w:sz w:val="17"/>
          <w:szCs w:val="17"/>
          <w:vertAlign w:val="superscript"/>
        </w:rPr>
      </w:pPr>
      <w:r w:rsidRPr="00CA2AEE">
        <w:rPr>
          <w:rFonts w:eastAsia="Times New Roman" w:cs="Arial"/>
        </w:rPr>
        <w:t>Use the list below to verify the completeness of your application package.</w:t>
      </w:r>
    </w:p>
    <w:p w14:paraId="5404416C" w14:textId="77777777" w:rsidR="00CA2AEE" w:rsidRPr="00CA2AEE" w:rsidRDefault="00CA2AEE" w:rsidP="0057108F">
      <w:pPr>
        <w:spacing w:after="0" w:line="240" w:lineRule="auto"/>
        <w:textAlignment w:val="baseline"/>
        <w:rPr>
          <w:rFonts w:ascii="Segoe UI" w:eastAsia="Times New Roman" w:hAnsi="Segoe UI" w:cs="Segoe UI"/>
          <w:sz w:val="18"/>
          <w:szCs w:val="18"/>
        </w:rPr>
      </w:pPr>
    </w:p>
    <w:tbl>
      <w:tblPr>
        <w:tblStyle w:val="TableGrid2"/>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BC5897" w:rsidRPr="00226B41" w14:paraId="00DB3E32" w14:textId="77777777" w:rsidTr="00C71F41">
        <w:trPr>
          <w:trHeight w:val="567"/>
        </w:trPr>
        <w:tc>
          <w:tcPr>
            <w:tcW w:w="567" w:type="dxa"/>
            <w:shd w:val="clear" w:color="auto" w:fill="auto"/>
            <w:vAlign w:val="center"/>
          </w:tcPr>
          <w:bookmarkStart w:id="56" w:name="_Hlk15285391"/>
          <w:p w14:paraId="6FE97D1C" w14:textId="77777777" w:rsidR="00BC5897" w:rsidRPr="00BC5897" w:rsidRDefault="00600B6B" w:rsidP="0057108F">
            <w:pPr>
              <w:ind w:hanging="98"/>
              <w:jc w:val="center"/>
              <w:rPr>
                <w:b/>
                <w:sz w:val="22"/>
                <w:szCs w:val="22"/>
              </w:rPr>
            </w:pPr>
            <w:sdt>
              <w:sdtPr>
                <w:rPr>
                  <w:b/>
                </w:rPr>
                <w:id w:val="-180662496"/>
                <w14:checkbox>
                  <w14:checked w14:val="0"/>
                  <w14:checkedState w14:val="2612" w14:font="MS Gothic"/>
                  <w14:uncheckedState w14:val="2610" w14:font="MS Gothic"/>
                </w14:checkbox>
              </w:sdtPr>
              <w:sdtEndPr/>
              <w:sdtContent>
                <w:r w:rsidR="00BC5897" w:rsidRPr="00BC5897">
                  <w:rPr>
                    <w:rFonts w:ascii="Segoe UI Symbol" w:eastAsia="MS Gothic" w:hAnsi="Segoe UI Symbol" w:cs="Segoe UI Symbol"/>
                    <w:sz w:val="22"/>
                    <w:szCs w:val="22"/>
                  </w:rPr>
                  <w:t>☐</w:t>
                </w:r>
              </w:sdtContent>
            </w:sdt>
          </w:p>
        </w:tc>
        <w:tc>
          <w:tcPr>
            <w:tcW w:w="8642" w:type="dxa"/>
            <w:vAlign w:val="center"/>
          </w:tcPr>
          <w:p w14:paraId="6B719E85" w14:textId="77777777" w:rsidR="00BC5897" w:rsidRPr="00BC5897" w:rsidRDefault="00BC5897" w:rsidP="0057108F">
            <w:pPr>
              <w:ind w:left="239" w:hanging="90"/>
              <w:rPr>
                <w:bCs/>
                <w:sz w:val="22"/>
                <w:szCs w:val="22"/>
              </w:rPr>
            </w:pPr>
            <w:r w:rsidRPr="00BC5897">
              <w:rPr>
                <w:bCs/>
                <w:sz w:val="22"/>
                <w:szCs w:val="22"/>
              </w:rPr>
              <w:t>Funding Request Form</w:t>
            </w:r>
          </w:p>
        </w:tc>
      </w:tr>
      <w:tr w:rsidR="00BC5897" w:rsidRPr="00226B41" w14:paraId="318DE334" w14:textId="77777777" w:rsidTr="00C71F41">
        <w:trPr>
          <w:trHeight w:val="567"/>
        </w:trPr>
        <w:tc>
          <w:tcPr>
            <w:tcW w:w="567" w:type="dxa"/>
            <w:shd w:val="clear" w:color="auto" w:fill="auto"/>
            <w:vAlign w:val="center"/>
          </w:tcPr>
          <w:p w14:paraId="75EDAA99" w14:textId="77777777" w:rsidR="00BC5897" w:rsidRPr="00BC5897" w:rsidRDefault="00600B6B" w:rsidP="0057108F">
            <w:pPr>
              <w:ind w:hanging="98"/>
              <w:jc w:val="center"/>
              <w:rPr>
                <w:b/>
                <w:sz w:val="22"/>
                <w:szCs w:val="22"/>
              </w:rPr>
            </w:pPr>
            <w:sdt>
              <w:sdtPr>
                <w:rPr>
                  <w:b/>
                </w:rPr>
                <w:id w:val="-797372883"/>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39B6B6C1" w14:textId="77777777" w:rsidR="00BC5897" w:rsidRPr="00BC5897" w:rsidRDefault="00BC5897" w:rsidP="0057108F">
            <w:pPr>
              <w:ind w:left="239" w:hanging="90"/>
              <w:rPr>
                <w:bCs/>
                <w:sz w:val="22"/>
                <w:szCs w:val="22"/>
              </w:rPr>
            </w:pPr>
            <w:r w:rsidRPr="00BC5897">
              <w:rPr>
                <w:rFonts w:eastAsia="SimSun"/>
                <w:bCs/>
                <w:sz w:val="22"/>
                <w:szCs w:val="22"/>
                <w:lang w:eastAsia="zh-CN"/>
              </w:rPr>
              <w:t xml:space="preserve">Programmatic Gap Table(s) </w:t>
            </w:r>
          </w:p>
        </w:tc>
      </w:tr>
      <w:tr w:rsidR="00BC5897" w:rsidRPr="00226B41" w14:paraId="592A2D56" w14:textId="77777777" w:rsidTr="00C71F41">
        <w:trPr>
          <w:trHeight w:val="567"/>
        </w:trPr>
        <w:tc>
          <w:tcPr>
            <w:tcW w:w="567" w:type="dxa"/>
            <w:shd w:val="clear" w:color="auto" w:fill="auto"/>
            <w:vAlign w:val="center"/>
          </w:tcPr>
          <w:p w14:paraId="2B521A9B" w14:textId="77777777" w:rsidR="00BC5897" w:rsidRPr="00BC5897" w:rsidRDefault="00600B6B" w:rsidP="0057108F">
            <w:pPr>
              <w:ind w:hanging="98"/>
              <w:jc w:val="center"/>
              <w:rPr>
                <w:b/>
                <w:sz w:val="22"/>
                <w:szCs w:val="22"/>
              </w:rPr>
            </w:pPr>
            <w:sdt>
              <w:sdtPr>
                <w:rPr>
                  <w:b/>
                </w:rPr>
                <w:id w:val="1788846860"/>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07D3888D" w14:textId="77777777" w:rsidR="00BC5897" w:rsidRPr="00BC5897" w:rsidRDefault="00BC5897" w:rsidP="0057108F">
            <w:pPr>
              <w:ind w:left="239" w:hanging="90"/>
              <w:rPr>
                <w:rFonts w:eastAsia="SimSun"/>
                <w:bCs/>
                <w:sz w:val="22"/>
                <w:szCs w:val="22"/>
                <w:lang w:eastAsia="zh-CN"/>
              </w:rPr>
            </w:pPr>
            <w:r w:rsidRPr="00BC5897">
              <w:rPr>
                <w:bCs/>
                <w:sz w:val="22"/>
                <w:szCs w:val="22"/>
              </w:rPr>
              <w:t xml:space="preserve">Funding Landscape Table(s) </w:t>
            </w:r>
          </w:p>
        </w:tc>
      </w:tr>
      <w:tr w:rsidR="00BC5897" w:rsidRPr="00226B41" w14:paraId="5AD90987" w14:textId="77777777" w:rsidTr="00C71F41">
        <w:trPr>
          <w:trHeight w:val="567"/>
        </w:trPr>
        <w:tc>
          <w:tcPr>
            <w:tcW w:w="567" w:type="dxa"/>
            <w:shd w:val="clear" w:color="auto" w:fill="auto"/>
            <w:vAlign w:val="center"/>
          </w:tcPr>
          <w:p w14:paraId="421A2B36" w14:textId="77777777" w:rsidR="00BC5897" w:rsidRPr="00BC5897" w:rsidRDefault="00600B6B" w:rsidP="0057108F">
            <w:pPr>
              <w:ind w:hanging="98"/>
              <w:jc w:val="center"/>
              <w:rPr>
                <w:b/>
                <w:sz w:val="22"/>
                <w:szCs w:val="22"/>
              </w:rPr>
            </w:pPr>
            <w:sdt>
              <w:sdtPr>
                <w:rPr>
                  <w:b/>
                </w:rPr>
                <w:id w:val="189352396"/>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00F890D6" w14:textId="77777777" w:rsidR="00BC5897" w:rsidRPr="00BC5897" w:rsidRDefault="00BC5897" w:rsidP="0057108F">
            <w:pPr>
              <w:ind w:left="239" w:hanging="90"/>
              <w:rPr>
                <w:bCs/>
                <w:sz w:val="22"/>
                <w:szCs w:val="22"/>
              </w:rPr>
            </w:pPr>
            <w:r w:rsidRPr="00BC5897">
              <w:rPr>
                <w:bCs/>
                <w:sz w:val="22"/>
                <w:szCs w:val="22"/>
              </w:rPr>
              <w:t>Performance Framework</w:t>
            </w:r>
          </w:p>
        </w:tc>
      </w:tr>
      <w:tr w:rsidR="00BC5897" w:rsidRPr="00226B41" w14:paraId="515D5246" w14:textId="77777777" w:rsidTr="00C71F41">
        <w:trPr>
          <w:trHeight w:val="567"/>
        </w:trPr>
        <w:tc>
          <w:tcPr>
            <w:tcW w:w="567" w:type="dxa"/>
            <w:shd w:val="clear" w:color="auto" w:fill="auto"/>
            <w:vAlign w:val="center"/>
          </w:tcPr>
          <w:p w14:paraId="534F6B31" w14:textId="77777777" w:rsidR="00BC5897" w:rsidRPr="00BC5897" w:rsidRDefault="00600B6B" w:rsidP="0057108F">
            <w:pPr>
              <w:ind w:hanging="98"/>
              <w:jc w:val="center"/>
              <w:rPr>
                <w:b/>
                <w:sz w:val="22"/>
                <w:szCs w:val="22"/>
              </w:rPr>
            </w:pPr>
            <w:sdt>
              <w:sdtPr>
                <w:rPr>
                  <w:b/>
                </w:rPr>
                <w:id w:val="595447511"/>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28D0125D" w14:textId="77777777" w:rsidR="00BC5897" w:rsidRPr="00BC5897" w:rsidRDefault="00BC5897" w:rsidP="0057108F">
            <w:pPr>
              <w:ind w:left="239" w:hanging="90"/>
              <w:rPr>
                <w:bCs/>
                <w:sz w:val="22"/>
                <w:szCs w:val="22"/>
              </w:rPr>
            </w:pPr>
            <w:r w:rsidRPr="00BC5897">
              <w:rPr>
                <w:bCs/>
                <w:sz w:val="22"/>
                <w:szCs w:val="22"/>
              </w:rPr>
              <w:t>Budget</w:t>
            </w:r>
          </w:p>
        </w:tc>
      </w:tr>
      <w:tr w:rsidR="00BC5897" w:rsidRPr="00226B41" w14:paraId="07D73A14" w14:textId="77777777" w:rsidTr="00C71F41">
        <w:trPr>
          <w:trHeight w:val="567"/>
        </w:trPr>
        <w:tc>
          <w:tcPr>
            <w:tcW w:w="567" w:type="dxa"/>
            <w:shd w:val="clear" w:color="auto" w:fill="auto"/>
            <w:vAlign w:val="center"/>
          </w:tcPr>
          <w:p w14:paraId="042A3521" w14:textId="77777777" w:rsidR="00BC5897" w:rsidRPr="00BC5897" w:rsidRDefault="00600B6B" w:rsidP="0057108F">
            <w:pPr>
              <w:ind w:hanging="98"/>
              <w:jc w:val="center"/>
              <w:rPr>
                <w:b/>
                <w:sz w:val="22"/>
                <w:szCs w:val="22"/>
              </w:rPr>
            </w:pPr>
            <w:sdt>
              <w:sdtPr>
                <w:rPr>
                  <w:b/>
                </w:rPr>
                <w:id w:val="-2051445561"/>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6244E377" w14:textId="77777777" w:rsidR="00BC5897" w:rsidRPr="00BC5897" w:rsidRDefault="00BC5897" w:rsidP="0057108F">
            <w:pPr>
              <w:ind w:left="239" w:hanging="90"/>
              <w:rPr>
                <w:bCs/>
                <w:sz w:val="22"/>
                <w:szCs w:val="22"/>
              </w:rPr>
            </w:pPr>
            <w:r w:rsidRPr="00BC5897">
              <w:rPr>
                <w:bCs/>
                <w:sz w:val="22"/>
                <w:szCs w:val="22"/>
              </w:rPr>
              <w:t>Prioritized above allocation request (PAAR)</w:t>
            </w:r>
          </w:p>
        </w:tc>
      </w:tr>
      <w:tr w:rsidR="00BC5897" w:rsidRPr="00226B41" w14:paraId="3C8CB017" w14:textId="77777777" w:rsidTr="00C71F41">
        <w:trPr>
          <w:trHeight w:val="567"/>
        </w:trPr>
        <w:tc>
          <w:tcPr>
            <w:tcW w:w="567" w:type="dxa"/>
            <w:shd w:val="clear" w:color="auto" w:fill="auto"/>
            <w:vAlign w:val="center"/>
          </w:tcPr>
          <w:p w14:paraId="66DBCFAE" w14:textId="77777777" w:rsidR="00BC5897" w:rsidRPr="00BC5897" w:rsidRDefault="00600B6B" w:rsidP="0057108F">
            <w:pPr>
              <w:ind w:hanging="98"/>
              <w:jc w:val="center"/>
              <w:rPr>
                <w:b/>
                <w:sz w:val="22"/>
                <w:szCs w:val="22"/>
              </w:rPr>
            </w:pPr>
            <w:sdt>
              <w:sdtPr>
                <w:rPr>
                  <w:b/>
                </w:rPr>
                <w:id w:val="1479722300"/>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19BB2BD1" w14:textId="77777777" w:rsidR="00BC5897" w:rsidRPr="00BC5897" w:rsidRDefault="00BC5897" w:rsidP="0057108F">
            <w:pPr>
              <w:ind w:left="239" w:hanging="90"/>
              <w:rPr>
                <w:bCs/>
                <w:sz w:val="22"/>
                <w:szCs w:val="22"/>
              </w:rPr>
            </w:pPr>
            <w:r w:rsidRPr="00BC5897">
              <w:rPr>
                <w:bCs/>
                <w:sz w:val="22"/>
                <w:szCs w:val="22"/>
              </w:rPr>
              <w:t>Implementation Arrangement Map(s)</w:t>
            </w:r>
            <w:r w:rsidRPr="00BC5897">
              <w:rPr>
                <w:rStyle w:val="FootnoteReference"/>
                <w:bCs/>
                <w:sz w:val="22"/>
                <w:szCs w:val="22"/>
              </w:rPr>
              <w:footnoteReference w:id="8"/>
            </w:r>
          </w:p>
        </w:tc>
      </w:tr>
      <w:tr w:rsidR="00BC5897" w:rsidRPr="00226B41" w14:paraId="3CC2C952" w14:textId="77777777" w:rsidTr="00C71F41">
        <w:trPr>
          <w:trHeight w:val="567"/>
        </w:trPr>
        <w:tc>
          <w:tcPr>
            <w:tcW w:w="567" w:type="dxa"/>
            <w:shd w:val="clear" w:color="auto" w:fill="auto"/>
            <w:vAlign w:val="center"/>
          </w:tcPr>
          <w:p w14:paraId="7C4C40E9" w14:textId="77777777" w:rsidR="00BC5897" w:rsidRPr="00BC5897" w:rsidRDefault="00600B6B" w:rsidP="0057108F">
            <w:pPr>
              <w:ind w:hanging="98"/>
              <w:jc w:val="center"/>
              <w:rPr>
                <w:b/>
                <w:sz w:val="22"/>
                <w:szCs w:val="22"/>
              </w:rPr>
            </w:pPr>
            <w:sdt>
              <w:sdtPr>
                <w:rPr>
                  <w:b/>
                </w:rPr>
                <w:id w:val="-2140713719"/>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146333B1" w14:textId="77777777" w:rsidR="00BC5897" w:rsidRPr="00BC5897" w:rsidRDefault="00BC5897" w:rsidP="0057108F">
            <w:pPr>
              <w:ind w:left="239" w:hanging="90"/>
              <w:rPr>
                <w:bCs/>
                <w:sz w:val="22"/>
                <w:szCs w:val="22"/>
              </w:rPr>
            </w:pPr>
            <w:r w:rsidRPr="00BC5897">
              <w:rPr>
                <w:bCs/>
                <w:sz w:val="22"/>
                <w:szCs w:val="22"/>
              </w:rPr>
              <w:t>Essential Data Table(s) (updated)</w:t>
            </w:r>
          </w:p>
        </w:tc>
      </w:tr>
      <w:tr w:rsidR="00BC5897" w:rsidRPr="00226B41" w14:paraId="5C972E9A" w14:textId="77777777" w:rsidTr="00C71F41">
        <w:trPr>
          <w:trHeight w:val="567"/>
        </w:trPr>
        <w:tc>
          <w:tcPr>
            <w:tcW w:w="567" w:type="dxa"/>
            <w:shd w:val="clear" w:color="auto" w:fill="auto"/>
            <w:vAlign w:val="center"/>
          </w:tcPr>
          <w:p w14:paraId="17B21539" w14:textId="77777777" w:rsidR="00BC5897" w:rsidRPr="00BC5897" w:rsidRDefault="00600B6B" w:rsidP="0057108F">
            <w:pPr>
              <w:ind w:hanging="98"/>
              <w:jc w:val="center"/>
              <w:rPr>
                <w:b/>
              </w:rPr>
            </w:pPr>
            <w:sdt>
              <w:sdtPr>
                <w:rPr>
                  <w:b/>
                </w:rPr>
                <w:id w:val="-1115976256"/>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25E4FBA8" w14:textId="77777777" w:rsidR="00BC5897" w:rsidRPr="00BC5897" w:rsidRDefault="00BC5897" w:rsidP="0057108F">
            <w:pPr>
              <w:ind w:left="239" w:hanging="90"/>
              <w:rPr>
                <w:bCs/>
              </w:rPr>
            </w:pPr>
            <w:r w:rsidRPr="00BC5897">
              <w:rPr>
                <w:bCs/>
                <w:sz w:val="22"/>
                <w:szCs w:val="22"/>
              </w:rPr>
              <w:t xml:space="preserve">CCM Endorsement of Funding Request </w:t>
            </w:r>
          </w:p>
        </w:tc>
      </w:tr>
      <w:tr w:rsidR="00BC5897" w:rsidRPr="00226B41" w14:paraId="621A1D49" w14:textId="77777777" w:rsidTr="00C71F41">
        <w:trPr>
          <w:trHeight w:val="567"/>
        </w:trPr>
        <w:tc>
          <w:tcPr>
            <w:tcW w:w="567" w:type="dxa"/>
            <w:shd w:val="clear" w:color="auto" w:fill="auto"/>
            <w:vAlign w:val="center"/>
          </w:tcPr>
          <w:p w14:paraId="2EE3AA3B" w14:textId="77777777" w:rsidR="00BC5897" w:rsidRPr="00BC5897" w:rsidRDefault="00600B6B" w:rsidP="0057108F">
            <w:pPr>
              <w:ind w:hanging="98"/>
              <w:jc w:val="center"/>
              <w:rPr>
                <w:b/>
              </w:rPr>
            </w:pPr>
            <w:sdt>
              <w:sdtPr>
                <w:id w:val="-1469969149"/>
                <w14:checkbox>
                  <w14:checked w14:val="0"/>
                  <w14:checkedState w14:val="2612" w14:font="MS Gothic"/>
                  <w14:uncheckedState w14:val="2610" w14:font="MS Gothic"/>
                </w14:checkbox>
              </w:sdtPr>
              <w:sdtEndPr/>
              <w:sdtContent>
                <w:r w:rsidR="00BC5897" w:rsidRPr="00BC5897">
                  <w:rPr>
                    <w:rFonts w:ascii="Segoe UI Symbol" w:eastAsia="MS Gothic" w:hAnsi="Segoe UI Symbol" w:cs="Segoe UI Symbol"/>
                    <w:sz w:val="22"/>
                    <w:szCs w:val="22"/>
                  </w:rPr>
                  <w:t>☐</w:t>
                </w:r>
              </w:sdtContent>
            </w:sdt>
          </w:p>
        </w:tc>
        <w:tc>
          <w:tcPr>
            <w:tcW w:w="8642" w:type="dxa"/>
            <w:vAlign w:val="center"/>
          </w:tcPr>
          <w:p w14:paraId="6F065C91" w14:textId="77777777" w:rsidR="00BC5897" w:rsidRPr="00BC5897" w:rsidRDefault="00BC5897" w:rsidP="0057108F">
            <w:pPr>
              <w:ind w:left="239" w:hanging="90"/>
              <w:rPr>
                <w:bCs/>
              </w:rPr>
            </w:pPr>
            <w:r w:rsidRPr="00BC5897">
              <w:rPr>
                <w:rFonts w:eastAsia="SimSun"/>
                <w:bCs/>
                <w:sz w:val="22"/>
                <w:szCs w:val="22"/>
                <w:lang w:eastAsia="zh-CN"/>
              </w:rPr>
              <w:t>CCM Statement of Compliance</w:t>
            </w:r>
          </w:p>
        </w:tc>
      </w:tr>
      <w:tr w:rsidR="00BC5897" w:rsidRPr="00226B41" w14:paraId="0EA115EF" w14:textId="77777777" w:rsidTr="00C71F41">
        <w:trPr>
          <w:trHeight w:val="567"/>
        </w:trPr>
        <w:tc>
          <w:tcPr>
            <w:tcW w:w="567" w:type="dxa"/>
            <w:shd w:val="clear" w:color="auto" w:fill="auto"/>
            <w:vAlign w:val="center"/>
          </w:tcPr>
          <w:p w14:paraId="1EE2680B" w14:textId="77777777" w:rsidR="00BC5897" w:rsidRPr="00BC5897" w:rsidRDefault="00600B6B" w:rsidP="0057108F">
            <w:pPr>
              <w:ind w:hanging="98"/>
              <w:jc w:val="center"/>
              <w:rPr>
                <w:b/>
                <w:sz w:val="22"/>
                <w:szCs w:val="22"/>
                <w:highlight w:val="yellow"/>
              </w:rPr>
            </w:pPr>
            <w:sdt>
              <w:sdtPr>
                <w:rPr>
                  <w:b/>
                </w:rPr>
                <w:id w:val="-220992833"/>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6EBE1E66" w14:textId="77777777" w:rsidR="00BC5897" w:rsidRPr="00BC5897" w:rsidRDefault="00BC5897" w:rsidP="0057108F">
            <w:pPr>
              <w:ind w:left="239" w:hanging="90"/>
              <w:rPr>
                <w:bCs/>
                <w:sz w:val="22"/>
                <w:szCs w:val="22"/>
                <w:highlight w:val="yellow"/>
              </w:rPr>
            </w:pPr>
            <w:r w:rsidRPr="00BC5897">
              <w:rPr>
                <w:bCs/>
                <w:sz w:val="22"/>
                <w:szCs w:val="22"/>
              </w:rPr>
              <w:t xml:space="preserve">Supporting documentation to confirm meeting co-financing requirements for current allocation period </w:t>
            </w:r>
          </w:p>
        </w:tc>
      </w:tr>
      <w:tr w:rsidR="00BC5897" w:rsidRPr="00226B41" w14:paraId="2B293D3F" w14:textId="77777777" w:rsidTr="00C71F41">
        <w:trPr>
          <w:trHeight w:val="567"/>
        </w:trPr>
        <w:tc>
          <w:tcPr>
            <w:tcW w:w="567" w:type="dxa"/>
            <w:shd w:val="clear" w:color="auto" w:fill="auto"/>
            <w:vAlign w:val="center"/>
          </w:tcPr>
          <w:p w14:paraId="54D3346F" w14:textId="77777777" w:rsidR="00BC5897" w:rsidRPr="00BC5897" w:rsidRDefault="00600B6B" w:rsidP="0057108F">
            <w:pPr>
              <w:ind w:hanging="98"/>
              <w:jc w:val="center"/>
              <w:rPr>
                <w:b/>
                <w:sz w:val="22"/>
                <w:szCs w:val="22"/>
                <w:highlight w:val="yellow"/>
              </w:rPr>
            </w:pPr>
            <w:sdt>
              <w:sdtPr>
                <w:rPr>
                  <w:b/>
                </w:rPr>
                <w:id w:val="-1023165458"/>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458F7285" w14:textId="77777777" w:rsidR="00BC5897" w:rsidRPr="00BC5897" w:rsidRDefault="00BC5897" w:rsidP="0057108F">
            <w:pPr>
              <w:ind w:left="239" w:hanging="90"/>
              <w:rPr>
                <w:bCs/>
                <w:sz w:val="22"/>
                <w:szCs w:val="22"/>
                <w:highlight w:val="yellow"/>
              </w:rPr>
            </w:pPr>
            <w:r w:rsidRPr="00BC5897">
              <w:rPr>
                <w:bCs/>
                <w:sz w:val="22"/>
                <w:szCs w:val="22"/>
              </w:rPr>
              <w:t xml:space="preserve">Supporting documentation for co-financing commitments for next allocation period </w:t>
            </w:r>
          </w:p>
        </w:tc>
      </w:tr>
      <w:tr w:rsidR="00BC5897" w:rsidRPr="00226B41" w14:paraId="7C40D463" w14:textId="77777777" w:rsidTr="00C71F41">
        <w:trPr>
          <w:trHeight w:val="567"/>
        </w:trPr>
        <w:tc>
          <w:tcPr>
            <w:tcW w:w="567" w:type="dxa"/>
            <w:shd w:val="clear" w:color="auto" w:fill="auto"/>
            <w:vAlign w:val="center"/>
          </w:tcPr>
          <w:p w14:paraId="681F6710" w14:textId="77777777" w:rsidR="00BC5897" w:rsidRPr="00BC5897" w:rsidRDefault="00600B6B" w:rsidP="0057108F">
            <w:pPr>
              <w:ind w:hanging="98"/>
              <w:jc w:val="center"/>
              <w:rPr>
                <w:b/>
              </w:rPr>
            </w:pPr>
            <w:sdt>
              <w:sdtPr>
                <w:rPr>
                  <w:b/>
                </w:rPr>
                <w:id w:val="-2063856963"/>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17C1AE1A" w14:textId="77777777" w:rsidR="00BC5897" w:rsidRPr="00BC5897" w:rsidRDefault="00BC5897" w:rsidP="0057108F">
            <w:pPr>
              <w:ind w:left="239" w:hanging="90"/>
              <w:rPr>
                <w:bCs/>
              </w:rPr>
            </w:pPr>
            <w:r w:rsidRPr="00BC5897">
              <w:rPr>
                <w:bCs/>
                <w:sz w:val="22"/>
                <w:szCs w:val="22"/>
              </w:rPr>
              <w:t>Transition Readiness Assessment (if available)</w:t>
            </w:r>
          </w:p>
        </w:tc>
      </w:tr>
      <w:tr w:rsidR="00BC5897" w:rsidRPr="00226B41" w14:paraId="726364E1" w14:textId="77777777" w:rsidTr="00C71F41">
        <w:trPr>
          <w:trHeight w:val="567"/>
        </w:trPr>
        <w:tc>
          <w:tcPr>
            <w:tcW w:w="567" w:type="dxa"/>
            <w:shd w:val="clear" w:color="auto" w:fill="auto"/>
            <w:vAlign w:val="center"/>
          </w:tcPr>
          <w:p w14:paraId="5E20DBF7" w14:textId="77777777" w:rsidR="00BC5897" w:rsidRPr="00BC5897" w:rsidRDefault="00600B6B" w:rsidP="0057108F">
            <w:pPr>
              <w:ind w:hanging="98"/>
              <w:jc w:val="center"/>
              <w:rPr>
                <w:b/>
                <w:sz w:val="22"/>
                <w:szCs w:val="22"/>
              </w:rPr>
            </w:pPr>
            <w:sdt>
              <w:sdtPr>
                <w:rPr>
                  <w:b/>
                </w:rPr>
                <w:id w:val="1226954297"/>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2DA37244" w14:textId="77777777" w:rsidR="00BC5897" w:rsidRPr="00BC5897" w:rsidRDefault="00BC5897" w:rsidP="0057108F">
            <w:pPr>
              <w:ind w:left="239" w:hanging="90"/>
              <w:rPr>
                <w:bCs/>
                <w:sz w:val="22"/>
                <w:szCs w:val="22"/>
              </w:rPr>
            </w:pPr>
            <w:r w:rsidRPr="00BC5897">
              <w:rPr>
                <w:bCs/>
                <w:sz w:val="22"/>
                <w:szCs w:val="22"/>
              </w:rPr>
              <w:t>National Strategic Plans (Health Sector and Disease specific)</w:t>
            </w:r>
          </w:p>
        </w:tc>
      </w:tr>
      <w:tr w:rsidR="00BC5897" w:rsidRPr="00226B41" w14:paraId="26717FCF" w14:textId="77777777" w:rsidTr="00C71F41">
        <w:trPr>
          <w:trHeight w:val="567"/>
        </w:trPr>
        <w:tc>
          <w:tcPr>
            <w:tcW w:w="567" w:type="dxa"/>
            <w:shd w:val="clear" w:color="auto" w:fill="auto"/>
            <w:vAlign w:val="center"/>
          </w:tcPr>
          <w:p w14:paraId="6A220532" w14:textId="77777777" w:rsidR="00BC5897" w:rsidRPr="00BC5897" w:rsidRDefault="00600B6B" w:rsidP="0057108F">
            <w:pPr>
              <w:ind w:hanging="98"/>
              <w:jc w:val="center"/>
              <w:rPr>
                <w:b/>
                <w:sz w:val="22"/>
                <w:szCs w:val="22"/>
              </w:rPr>
            </w:pPr>
            <w:sdt>
              <w:sdtPr>
                <w:rPr>
                  <w:b/>
                </w:rPr>
                <w:id w:val="1302270637"/>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362E39F0" w14:textId="77777777" w:rsidR="00BC5897" w:rsidRPr="00BC5897" w:rsidRDefault="00BC5897" w:rsidP="0057108F">
            <w:pPr>
              <w:ind w:left="239" w:hanging="90"/>
              <w:rPr>
                <w:bCs/>
                <w:sz w:val="22"/>
                <w:szCs w:val="22"/>
              </w:rPr>
            </w:pPr>
            <w:r w:rsidRPr="00BC5897">
              <w:rPr>
                <w:rFonts w:eastAsia="SimSun"/>
                <w:bCs/>
                <w:sz w:val="22"/>
                <w:szCs w:val="22"/>
                <w:lang w:eastAsia="zh-CN"/>
              </w:rPr>
              <w:t>All supporting documentation referenced in the funding request</w:t>
            </w:r>
          </w:p>
        </w:tc>
      </w:tr>
      <w:tr w:rsidR="00BC5897" w:rsidRPr="00226B41" w14:paraId="01215110" w14:textId="77777777" w:rsidTr="00C71F41">
        <w:trPr>
          <w:trHeight w:val="567"/>
        </w:trPr>
        <w:tc>
          <w:tcPr>
            <w:tcW w:w="567" w:type="dxa"/>
            <w:shd w:val="clear" w:color="auto" w:fill="auto"/>
            <w:vAlign w:val="center"/>
          </w:tcPr>
          <w:p w14:paraId="6B40F6F2" w14:textId="77777777" w:rsidR="00BC5897" w:rsidRPr="00BC5897" w:rsidRDefault="00600B6B" w:rsidP="0057108F">
            <w:pPr>
              <w:ind w:hanging="98"/>
              <w:jc w:val="center"/>
              <w:rPr>
                <w:b/>
                <w:sz w:val="22"/>
                <w:szCs w:val="22"/>
              </w:rPr>
            </w:pPr>
            <w:sdt>
              <w:sdtPr>
                <w:rPr>
                  <w:b/>
                </w:rPr>
                <w:id w:val="-1828971492"/>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364E9E72" w14:textId="77777777" w:rsidR="00BC5897" w:rsidRPr="00BC5897" w:rsidRDefault="00BC5897" w:rsidP="0057108F">
            <w:pPr>
              <w:ind w:left="239" w:hanging="90"/>
              <w:rPr>
                <w:bCs/>
                <w:sz w:val="22"/>
                <w:szCs w:val="22"/>
              </w:rPr>
            </w:pPr>
            <w:r w:rsidRPr="00BC5897">
              <w:rPr>
                <w:sz w:val="22"/>
                <w:szCs w:val="22"/>
              </w:rPr>
              <w:t>Health Product Management Tool (if applicable)</w:t>
            </w:r>
          </w:p>
        </w:tc>
      </w:tr>
      <w:tr w:rsidR="00BC5897" w:rsidRPr="00226B41" w14:paraId="7E502E20" w14:textId="77777777" w:rsidTr="00C71F41">
        <w:trPr>
          <w:trHeight w:val="567"/>
        </w:trPr>
        <w:tc>
          <w:tcPr>
            <w:tcW w:w="567" w:type="dxa"/>
            <w:shd w:val="clear" w:color="auto" w:fill="auto"/>
            <w:vAlign w:val="center"/>
          </w:tcPr>
          <w:p w14:paraId="762F7786" w14:textId="77777777" w:rsidR="00BC5897" w:rsidRPr="00BC5897" w:rsidRDefault="00600B6B" w:rsidP="0057108F">
            <w:pPr>
              <w:ind w:hanging="98"/>
              <w:jc w:val="center"/>
              <w:rPr>
                <w:b/>
                <w:sz w:val="22"/>
                <w:szCs w:val="22"/>
              </w:rPr>
            </w:pPr>
            <w:sdt>
              <w:sdtPr>
                <w:id w:val="-784813489"/>
                <w14:checkbox>
                  <w14:checked w14:val="0"/>
                  <w14:checkedState w14:val="2612" w14:font="MS Gothic"/>
                  <w14:uncheckedState w14:val="2610" w14:font="MS Gothic"/>
                </w14:checkbox>
              </w:sdtPr>
              <w:sdtEndPr/>
              <w:sdtContent>
                <w:r w:rsidR="00BC5897" w:rsidRPr="00BC5897">
                  <w:rPr>
                    <w:rFonts w:ascii="Segoe UI Symbol" w:hAnsi="Segoe UI Symbol" w:cs="Segoe UI Symbol"/>
                    <w:sz w:val="22"/>
                    <w:szCs w:val="22"/>
                  </w:rPr>
                  <w:t>☐</w:t>
                </w:r>
              </w:sdtContent>
            </w:sdt>
          </w:p>
        </w:tc>
        <w:tc>
          <w:tcPr>
            <w:tcW w:w="8642" w:type="dxa"/>
            <w:vAlign w:val="center"/>
          </w:tcPr>
          <w:p w14:paraId="16095009" w14:textId="77777777" w:rsidR="00BC5897" w:rsidRPr="00BC5897" w:rsidRDefault="00BC5897" w:rsidP="0057108F">
            <w:pPr>
              <w:ind w:left="239" w:hanging="90"/>
              <w:rPr>
                <w:bCs/>
                <w:sz w:val="22"/>
                <w:szCs w:val="22"/>
              </w:rPr>
            </w:pPr>
            <w:r w:rsidRPr="00BC5897">
              <w:rPr>
                <w:sz w:val="22"/>
                <w:szCs w:val="22"/>
              </w:rPr>
              <w:t>List of Abbreviations and Annexes</w:t>
            </w:r>
          </w:p>
        </w:tc>
      </w:tr>
      <w:bookmarkEnd w:id="56"/>
    </w:tbl>
    <w:p w14:paraId="5D181B8A" w14:textId="70382094" w:rsidR="00517B2C" w:rsidRDefault="00517B2C" w:rsidP="0057108F">
      <w:pPr>
        <w:pStyle w:val="ListParagraph"/>
        <w:spacing w:after="0" w:line="276" w:lineRule="auto"/>
        <w:ind w:left="0"/>
        <w:contextualSpacing w:val="0"/>
        <w:rPr>
          <w:rFonts w:cs="Arial"/>
        </w:rPr>
      </w:pPr>
    </w:p>
    <w:sectPr w:rsidR="00517B2C" w:rsidSect="0092780F">
      <w:footerReference w:type="default" r:id="rId19"/>
      <w:footerReference w:type="first" r:id="rId20"/>
      <w:pgSz w:w="11906" w:h="16838" w:code="9"/>
      <w:pgMar w:top="720" w:right="720" w:bottom="720" w:left="720" w:header="72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250A" w14:textId="77777777" w:rsidR="00600B6B" w:rsidRDefault="00600B6B" w:rsidP="009B5454">
      <w:pPr>
        <w:spacing w:after="0" w:line="240" w:lineRule="auto"/>
      </w:pPr>
      <w:r>
        <w:separator/>
      </w:r>
    </w:p>
  </w:endnote>
  <w:endnote w:type="continuationSeparator" w:id="0">
    <w:p w14:paraId="7507186A" w14:textId="77777777" w:rsidR="00600B6B" w:rsidRDefault="00600B6B" w:rsidP="009B5454">
      <w:pPr>
        <w:spacing w:after="0" w:line="240" w:lineRule="auto"/>
      </w:pPr>
      <w:r>
        <w:continuationSeparator/>
      </w:r>
    </w:p>
  </w:endnote>
  <w:endnote w:type="continuationNotice" w:id="1">
    <w:p w14:paraId="44D5515D" w14:textId="77777777" w:rsidR="00600B6B" w:rsidRDefault="00600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5D69" w14:textId="2EB8F88F" w:rsidR="00261D78" w:rsidRDefault="00261D78" w:rsidP="00C71F41">
    <w:pPr>
      <w:spacing w:after="0"/>
      <w:jc w:val="center"/>
      <w:rPr>
        <w:color w:val="A6A6A6" w:themeColor="background1" w:themeShade="A6"/>
        <w:sz w:val="18"/>
        <w:szCs w:val="18"/>
      </w:rPr>
    </w:pPr>
    <w:bookmarkStart w:id="4" w:name="_Hlk15379584"/>
    <w:bookmarkStart w:id="5" w:name="_Hlk15379585"/>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22B261FC" w14:textId="3ADF65CD" w:rsidR="00261D78" w:rsidRDefault="00261D78" w:rsidP="00C71F41">
    <w:pPr>
      <w:pStyle w:val="Footer"/>
      <w:jc w:val="center"/>
    </w:pPr>
    <w:r>
      <w:rPr>
        <w:color w:val="A6A6A6" w:themeColor="background1" w:themeShade="A6"/>
        <w:sz w:val="18"/>
        <w:szCs w:val="18"/>
      </w:rPr>
      <w:t xml:space="preserve">Issue Date: </w:t>
    </w:r>
    <w:bookmarkEnd w:id="4"/>
    <w:bookmarkEnd w:id="5"/>
    <w:r>
      <w:rPr>
        <w:color w:val="A6A6A6" w:themeColor="background1" w:themeShade="A6"/>
        <w:sz w:val="18"/>
        <w:szCs w:val="18"/>
      </w:rPr>
      <w:t>November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35627"/>
      <w:docPartObj>
        <w:docPartGallery w:val="Page Numbers (Bottom of Page)"/>
        <w:docPartUnique/>
      </w:docPartObj>
    </w:sdtPr>
    <w:sdtEndPr>
      <w:rPr>
        <w:noProof/>
        <w:sz w:val="16"/>
        <w:szCs w:val="16"/>
      </w:rPr>
    </w:sdtEndPr>
    <w:sdtContent>
      <w:p w14:paraId="447F947C" w14:textId="2DCBF7F9" w:rsidR="00261D78" w:rsidRPr="0092780F" w:rsidRDefault="00261D78" w:rsidP="0092780F">
        <w:pPr>
          <w:pStyle w:val="Footer"/>
          <w:jc w:val="right"/>
          <w:rPr>
            <w:sz w:val="16"/>
            <w:szCs w:val="16"/>
          </w:rPr>
        </w:pPr>
        <w:r w:rsidRPr="0092780F">
          <w:rPr>
            <w:sz w:val="16"/>
            <w:szCs w:val="16"/>
          </w:rPr>
          <w:fldChar w:fldCharType="begin"/>
        </w:r>
        <w:r w:rsidRPr="0092780F">
          <w:rPr>
            <w:sz w:val="16"/>
            <w:szCs w:val="16"/>
          </w:rPr>
          <w:instrText xml:space="preserve"> PAGE   \* MERGEFORMAT </w:instrText>
        </w:r>
        <w:r w:rsidRPr="0092780F">
          <w:rPr>
            <w:sz w:val="16"/>
            <w:szCs w:val="16"/>
          </w:rPr>
          <w:fldChar w:fldCharType="separate"/>
        </w:r>
        <w:r w:rsidR="00CE48A9">
          <w:rPr>
            <w:noProof/>
            <w:sz w:val="16"/>
            <w:szCs w:val="16"/>
          </w:rPr>
          <w:t>3</w:t>
        </w:r>
        <w:r w:rsidRPr="0092780F">
          <w:rPr>
            <w:noProof/>
            <w:sz w:val="16"/>
            <w:szCs w:val="16"/>
          </w:rPr>
          <w:fldChar w:fldCharType="end"/>
        </w:r>
      </w:p>
    </w:sdtContent>
  </w:sdt>
  <w:p w14:paraId="3073D527" w14:textId="6D704145" w:rsidR="00261D78" w:rsidRDefault="00261D78" w:rsidP="0092780F">
    <w:pPr>
      <w:spacing w:after="0"/>
      <w:jc w:val="center"/>
      <w:rPr>
        <w:color w:val="A6A6A6" w:themeColor="background1" w:themeShade="A6"/>
        <w:sz w:val="18"/>
        <w:szCs w:val="18"/>
      </w:rPr>
    </w:pPr>
    <w:r w:rsidRPr="00EF23C6">
      <w:rPr>
        <w:color w:val="A6A6A6" w:themeColor="background1" w:themeShade="A6"/>
        <w:sz w:val="18"/>
        <w:szCs w:val="18"/>
      </w:rPr>
      <w:t xml:space="preserve"> 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453BC940" w14:textId="349B3A57" w:rsidR="00261D78" w:rsidRDefault="00261D78" w:rsidP="00BC25CE">
    <w:pPr>
      <w:pStyle w:val="Footer"/>
      <w:jc w:val="center"/>
    </w:pPr>
    <w:r>
      <w:rPr>
        <w:color w:val="A6A6A6" w:themeColor="background1" w:themeShade="A6"/>
        <w:sz w:val="18"/>
        <w:szCs w:val="18"/>
      </w:rPr>
      <w:t>Issue Date: November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5332" w14:textId="77777777" w:rsidR="00261D78" w:rsidRDefault="00261D78" w:rsidP="00BC25CE">
    <w:pPr>
      <w:spacing w:after="0"/>
      <w:jc w:val="center"/>
      <w:rPr>
        <w:color w:val="A6A6A6" w:themeColor="background1" w:themeShade="A6"/>
        <w:sz w:val="18"/>
        <w:szCs w:val="18"/>
      </w:rPr>
    </w:pPr>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6FE85305" w14:textId="737646E5" w:rsidR="00261D78" w:rsidRPr="00BC25CE" w:rsidRDefault="00261D78" w:rsidP="00BC25CE">
    <w:pPr>
      <w:pStyle w:val="Footer"/>
      <w:jc w:val="center"/>
    </w:pPr>
    <w:r>
      <w:rPr>
        <w:color w:val="A6A6A6" w:themeColor="background1" w:themeShade="A6"/>
        <w:sz w:val="18"/>
        <w:szCs w:val="18"/>
      </w:rPr>
      <w:t>Issue Date: November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3BE4F" w14:textId="77777777" w:rsidR="00600B6B" w:rsidRDefault="00600B6B" w:rsidP="009B5454">
      <w:pPr>
        <w:spacing w:after="0" w:line="240" w:lineRule="auto"/>
      </w:pPr>
      <w:r>
        <w:separator/>
      </w:r>
    </w:p>
  </w:footnote>
  <w:footnote w:type="continuationSeparator" w:id="0">
    <w:p w14:paraId="2E9B0255" w14:textId="77777777" w:rsidR="00600B6B" w:rsidRDefault="00600B6B" w:rsidP="009B5454">
      <w:pPr>
        <w:spacing w:after="0" w:line="240" w:lineRule="auto"/>
      </w:pPr>
      <w:r>
        <w:continuationSeparator/>
      </w:r>
    </w:p>
  </w:footnote>
  <w:footnote w:type="continuationNotice" w:id="1">
    <w:p w14:paraId="4473A533" w14:textId="77777777" w:rsidR="00600B6B" w:rsidRDefault="00600B6B">
      <w:pPr>
        <w:spacing w:after="0" w:line="240" w:lineRule="auto"/>
      </w:pPr>
    </w:p>
  </w:footnote>
  <w:footnote w:id="2">
    <w:p w14:paraId="601C4D0D" w14:textId="77777777" w:rsidR="00261D78" w:rsidRPr="00CF0CFA" w:rsidRDefault="00261D78" w:rsidP="00803E0D">
      <w:pPr>
        <w:pStyle w:val="FootnoteText"/>
        <w:rPr>
          <w:sz w:val="16"/>
        </w:rPr>
      </w:pPr>
      <w:r w:rsidRPr="00CF0CFA">
        <w:rPr>
          <w:rStyle w:val="FootnoteReference"/>
          <w:sz w:val="16"/>
        </w:rPr>
        <w:footnoteRef/>
      </w:r>
      <w:r w:rsidRPr="00CF0CFA">
        <w:rPr>
          <w:sz w:val="16"/>
        </w:rPr>
        <w:t xml:space="preserve"> </w:t>
      </w:r>
      <w:r w:rsidRPr="00CF0CFA">
        <w:rPr>
          <w:sz w:val="16"/>
          <w:szCs w:val="16"/>
        </w:rPr>
        <w:t>PAARs can only be submitted with the Funding Request. To complete a PAAR, fill-in the Excel template that you will receive from the Global Fund Secretariat.</w:t>
      </w:r>
    </w:p>
  </w:footnote>
  <w:footnote w:id="3">
    <w:p w14:paraId="38C4CE8E" w14:textId="77777777" w:rsidR="00261D78" w:rsidRPr="00CF0CFA" w:rsidRDefault="00261D78" w:rsidP="00803E0D">
      <w:pPr>
        <w:pStyle w:val="FootnoteText"/>
        <w:rPr>
          <w:sz w:val="16"/>
        </w:rPr>
      </w:pPr>
      <w:r w:rsidRPr="00CF0CFA">
        <w:rPr>
          <w:rStyle w:val="FootnoteReference"/>
          <w:sz w:val="16"/>
        </w:rPr>
        <w:footnoteRef/>
      </w:r>
      <w:r w:rsidRPr="00CF0CFA">
        <w:rPr>
          <w:sz w:val="16"/>
        </w:rPr>
        <w:t>This is only relevant for applicants with designated matching funds as indicated in the allocation letter.</w:t>
      </w:r>
    </w:p>
    <w:p w14:paraId="7134E776" w14:textId="77777777" w:rsidR="00261D78" w:rsidRDefault="00261D78" w:rsidP="00803E0D">
      <w:pPr>
        <w:pStyle w:val="FootnoteText"/>
      </w:pPr>
    </w:p>
  </w:footnote>
  <w:footnote w:id="4">
    <w:p w14:paraId="508CC3DA" w14:textId="77777777" w:rsidR="00FC3460" w:rsidRPr="00FA6DD3" w:rsidRDefault="00FC3460" w:rsidP="00A91AC6">
      <w:pPr>
        <w:pStyle w:val="FootnoteText"/>
      </w:pPr>
      <w:r>
        <w:rPr>
          <w:rStyle w:val="FootnoteReference"/>
        </w:rPr>
        <w:footnoteRef/>
      </w:r>
      <w:r>
        <w:t xml:space="preserve"> </w:t>
      </w:r>
      <w:r w:rsidRPr="00467164">
        <w:t>Latent tuberculosis infection: updated and consolidated guidelines for programmatic management</w:t>
      </w:r>
      <w:r>
        <w:t xml:space="preserve">, </w:t>
      </w:r>
      <w:r w:rsidRPr="00467164">
        <w:t>WHO/CDS/TB/2018.4</w:t>
      </w:r>
    </w:p>
  </w:footnote>
  <w:footnote w:id="5">
    <w:p w14:paraId="3485598A" w14:textId="77777777" w:rsidR="00261D78" w:rsidRPr="00EB26E2" w:rsidRDefault="00261D78" w:rsidP="00E45A58">
      <w:pPr>
        <w:pStyle w:val="FootnoteText"/>
      </w:pPr>
      <w:r>
        <w:rPr>
          <w:rStyle w:val="FootnoteReference"/>
        </w:rPr>
        <w:footnoteRef/>
      </w:r>
      <w:r>
        <w:t xml:space="preserve"> Strategies for ending tuberculosis in the South-East Asian Region: A modelling approach. </w:t>
      </w:r>
      <w:r w:rsidRPr="00EB26E2">
        <w:t>Indian J Med Res 149, April 2019, pp 517-527</w:t>
      </w:r>
    </w:p>
  </w:footnote>
  <w:footnote w:id="6">
    <w:p w14:paraId="2689B3F4" w14:textId="35C0CE4A" w:rsidR="00261D78" w:rsidRPr="00997450" w:rsidRDefault="00261D78" w:rsidP="000B6C8E">
      <w:pPr>
        <w:autoSpaceDE w:val="0"/>
        <w:autoSpaceDN w:val="0"/>
        <w:spacing w:before="40" w:after="40" w:line="240" w:lineRule="auto"/>
        <w:rPr>
          <w:rFonts w:cs="Arial"/>
          <w:sz w:val="16"/>
          <w:szCs w:val="16"/>
        </w:rPr>
      </w:pPr>
      <w:r w:rsidRPr="00CF0CFA">
        <w:rPr>
          <w:rStyle w:val="FootnoteReference"/>
          <w:sz w:val="16"/>
          <w:szCs w:val="16"/>
        </w:rPr>
        <w:footnoteRef/>
      </w:r>
      <w:r w:rsidRPr="00CF0CFA">
        <w:rPr>
          <w:sz w:val="16"/>
          <w:szCs w:val="16"/>
        </w:rPr>
        <w:t xml:space="preserve"> </w:t>
      </w:r>
      <w:r w:rsidRPr="00CF0CFA">
        <w:rPr>
          <w:rFonts w:cs="Arial"/>
          <w:sz w:val="16"/>
          <w:szCs w:val="16"/>
        </w:rPr>
        <w:t>An updated implementation arrangement map is mandatory if the program is continuing with the same PR(s). In cases where the PR is changing, the implementation arrangement map may be submitted at the grant-making stage.</w:t>
      </w:r>
    </w:p>
    <w:p w14:paraId="4E4B1043" w14:textId="2E8E5CC5" w:rsidR="00261D78" w:rsidRPr="00997450" w:rsidRDefault="00261D78">
      <w:pPr>
        <w:pStyle w:val="FootnoteText"/>
        <w:rPr>
          <w:rFonts w:cs="Arial"/>
          <w:sz w:val="16"/>
          <w:szCs w:val="16"/>
        </w:rPr>
      </w:pPr>
    </w:p>
  </w:footnote>
  <w:footnote w:id="7">
    <w:p w14:paraId="58A37F07" w14:textId="1C0F4E22" w:rsidR="00261D78" w:rsidRDefault="00261D78">
      <w:pPr>
        <w:pStyle w:val="FootnoteText"/>
      </w:pPr>
      <w:r w:rsidRPr="00997450">
        <w:rPr>
          <w:rStyle w:val="FootnoteReference"/>
          <w:rFonts w:cs="Arial"/>
          <w:sz w:val="16"/>
          <w:szCs w:val="16"/>
        </w:rPr>
        <w:footnoteRef/>
      </w:r>
      <w:r w:rsidRPr="00997450">
        <w:rPr>
          <w:rFonts w:cs="Arial"/>
          <w:sz w:val="16"/>
          <w:szCs w:val="16"/>
        </w:rPr>
        <w:t xml:space="preserve"> </w:t>
      </w:r>
      <w:r w:rsidRPr="00997450">
        <w:rPr>
          <w:rFonts w:cs="Arial"/>
          <w:iCs/>
          <w:sz w:val="16"/>
          <w:szCs w:val="16"/>
        </w:rPr>
        <w:t>Note that information derived from the supporting documentation provided in response to the questions below, including information on funding landscape or domestic commitments, may be made publicly available by the Global Fund</w:t>
      </w:r>
      <w:r w:rsidRPr="00997450">
        <w:rPr>
          <w:rFonts w:cs="Arial"/>
          <w:sz w:val="16"/>
          <w:szCs w:val="16"/>
        </w:rPr>
        <w:t>.</w:t>
      </w:r>
    </w:p>
  </w:footnote>
  <w:footnote w:id="8">
    <w:p w14:paraId="65067F0E" w14:textId="77777777" w:rsidR="00261D78" w:rsidRPr="00CF0CFA" w:rsidRDefault="00261D78" w:rsidP="00BC5897">
      <w:pPr>
        <w:pStyle w:val="FootnoteText"/>
        <w:rPr>
          <w:sz w:val="16"/>
          <w:szCs w:val="16"/>
        </w:rPr>
      </w:pPr>
      <w:r w:rsidRPr="00CF0CFA">
        <w:rPr>
          <w:rStyle w:val="FootnoteReference"/>
          <w:sz w:val="16"/>
          <w:szCs w:val="16"/>
        </w:rPr>
        <w:footnoteRef/>
      </w:r>
      <w:r w:rsidRPr="00CF0CFA">
        <w:rPr>
          <w:sz w:val="16"/>
          <w:szCs w:val="16"/>
        </w:rPr>
        <w:t xml:space="preserve"> </w:t>
      </w:r>
      <w:bookmarkStart w:id="57" w:name="_Hlk14776208"/>
      <w:r w:rsidRPr="00CF0CFA">
        <w:rPr>
          <w:sz w:val="16"/>
          <w:szCs w:val="16"/>
        </w:rPr>
        <w:t>An updated implementation arrangement map is mandatory if the program is continuing with the same PR(s). In cases where the PR is changing, the implementation arrangement map may be submitted at the grant-making stage.</w:t>
      </w:r>
      <w:bookmarkEnd w:id="57"/>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39"/>
    <w:multiLevelType w:val="multilevel"/>
    <w:tmpl w:val="9ED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D6ABA"/>
    <w:multiLevelType w:val="hybridMultilevel"/>
    <w:tmpl w:val="881E65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4C66AC"/>
    <w:multiLevelType w:val="hybridMultilevel"/>
    <w:tmpl w:val="27BE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44584"/>
    <w:multiLevelType w:val="hybridMultilevel"/>
    <w:tmpl w:val="6E5ACAC6"/>
    <w:lvl w:ilvl="0" w:tplc="AB1E25B8">
      <w:start w:val="1"/>
      <w:numFmt w:val="low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415B7"/>
    <w:multiLevelType w:val="hybridMultilevel"/>
    <w:tmpl w:val="8AB0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A820BC"/>
    <w:multiLevelType w:val="hybridMultilevel"/>
    <w:tmpl w:val="024ECF0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9FB712E"/>
    <w:multiLevelType w:val="multilevel"/>
    <w:tmpl w:val="70804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A45FD"/>
    <w:multiLevelType w:val="hybridMultilevel"/>
    <w:tmpl w:val="9BAED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A4247"/>
    <w:multiLevelType w:val="hybridMultilevel"/>
    <w:tmpl w:val="D7EC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FFA"/>
    <w:multiLevelType w:val="hybridMultilevel"/>
    <w:tmpl w:val="9118BC92"/>
    <w:lvl w:ilvl="0" w:tplc="DCE82A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3C1A"/>
    <w:multiLevelType w:val="hybridMultilevel"/>
    <w:tmpl w:val="BF62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707A8E"/>
    <w:multiLevelType w:val="hybridMultilevel"/>
    <w:tmpl w:val="E084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D5D31"/>
    <w:multiLevelType w:val="hybridMultilevel"/>
    <w:tmpl w:val="C1A6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55CF3"/>
    <w:multiLevelType w:val="multilevel"/>
    <w:tmpl w:val="C74E8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B2EA0"/>
    <w:multiLevelType w:val="hybridMultilevel"/>
    <w:tmpl w:val="F234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3F1CC9"/>
    <w:multiLevelType w:val="hybridMultilevel"/>
    <w:tmpl w:val="EC6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0319D"/>
    <w:multiLevelType w:val="hybridMultilevel"/>
    <w:tmpl w:val="11C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C5A3D"/>
    <w:multiLevelType w:val="multilevel"/>
    <w:tmpl w:val="F1E81A64"/>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8" w15:restartNumberingAfterBreak="0">
    <w:nsid w:val="2C277F0A"/>
    <w:multiLevelType w:val="multilevel"/>
    <w:tmpl w:val="0E76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05891"/>
    <w:multiLevelType w:val="hybridMultilevel"/>
    <w:tmpl w:val="EE98C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60189D"/>
    <w:multiLevelType w:val="hybridMultilevel"/>
    <w:tmpl w:val="C872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8D3B1B"/>
    <w:multiLevelType w:val="hybridMultilevel"/>
    <w:tmpl w:val="6C64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A4369"/>
    <w:multiLevelType w:val="hybridMultilevel"/>
    <w:tmpl w:val="A7E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92D2D"/>
    <w:multiLevelType w:val="hybridMultilevel"/>
    <w:tmpl w:val="B5D2A8B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42213CE5"/>
    <w:multiLevelType w:val="hybridMultilevel"/>
    <w:tmpl w:val="D8DE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7E2F6C"/>
    <w:multiLevelType w:val="hybridMultilevel"/>
    <w:tmpl w:val="B64A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8058AF"/>
    <w:multiLevelType w:val="hybridMultilevel"/>
    <w:tmpl w:val="F382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D216F9"/>
    <w:multiLevelType w:val="hybridMultilevel"/>
    <w:tmpl w:val="11A6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237DE"/>
    <w:multiLevelType w:val="hybridMultilevel"/>
    <w:tmpl w:val="0492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806542"/>
    <w:multiLevelType w:val="hybridMultilevel"/>
    <w:tmpl w:val="AC1EB0D0"/>
    <w:lvl w:ilvl="0" w:tplc="5F361074">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91745A"/>
    <w:multiLevelType w:val="hybridMultilevel"/>
    <w:tmpl w:val="C866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610D0"/>
    <w:multiLevelType w:val="hybridMultilevel"/>
    <w:tmpl w:val="A79A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425D76"/>
    <w:multiLevelType w:val="hybridMultilevel"/>
    <w:tmpl w:val="A04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6A6FBF"/>
    <w:multiLevelType w:val="hybridMultilevel"/>
    <w:tmpl w:val="6CD6C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BA246A"/>
    <w:multiLevelType w:val="hybridMultilevel"/>
    <w:tmpl w:val="76369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CB272D"/>
    <w:multiLevelType w:val="hybridMultilevel"/>
    <w:tmpl w:val="EEAC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0A16E0"/>
    <w:multiLevelType w:val="multilevel"/>
    <w:tmpl w:val="07DCEE8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781351"/>
    <w:multiLevelType w:val="hybridMultilevel"/>
    <w:tmpl w:val="2CDA2C8E"/>
    <w:lvl w:ilvl="0" w:tplc="28B89B6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356764"/>
    <w:multiLevelType w:val="hybridMultilevel"/>
    <w:tmpl w:val="14241448"/>
    <w:lvl w:ilvl="0" w:tplc="9510F4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B1788"/>
    <w:multiLevelType w:val="hybridMultilevel"/>
    <w:tmpl w:val="C3D8B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B76FAE"/>
    <w:multiLevelType w:val="hybridMultilevel"/>
    <w:tmpl w:val="0044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6538BA"/>
    <w:multiLevelType w:val="hybridMultilevel"/>
    <w:tmpl w:val="F22ABCA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7470D5"/>
    <w:multiLevelType w:val="hybridMultilevel"/>
    <w:tmpl w:val="F19A2794"/>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D285814"/>
    <w:multiLevelType w:val="hybridMultilevel"/>
    <w:tmpl w:val="8278C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5672C"/>
    <w:multiLevelType w:val="hybridMultilevel"/>
    <w:tmpl w:val="3B0C8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015ADC"/>
    <w:multiLevelType w:val="hybridMultilevel"/>
    <w:tmpl w:val="37BE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18009C"/>
    <w:multiLevelType w:val="hybridMultilevel"/>
    <w:tmpl w:val="424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4463"/>
    <w:multiLevelType w:val="hybridMultilevel"/>
    <w:tmpl w:val="8D9C2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08241A"/>
    <w:multiLevelType w:val="hybridMultilevel"/>
    <w:tmpl w:val="87229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0"/>
  </w:num>
  <w:num w:numId="9">
    <w:abstractNumId w:val="29"/>
  </w:num>
  <w:num w:numId="10">
    <w:abstractNumId w:val="38"/>
  </w:num>
  <w:num w:numId="11">
    <w:abstractNumId w:val="45"/>
  </w:num>
  <w:num w:numId="12">
    <w:abstractNumId w:val="1"/>
  </w:num>
  <w:num w:numId="13">
    <w:abstractNumId w:val="42"/>
  </w:num>
  <w:num w:numId="14">
    <w:abstractNumId w:val="5"/>
  </w:num>
  <w:num w:numId="15">
    <w:abstractNumId w:val="23"/>
  </w:num>
  <w:num w:numId="16">
    <w:abstractNumId w:val="37"/>
  </w:num>
  <w:num w:numId="17">
    <w:abstractNumId w:val="41"/>
  </w:num>
  <w:num w:numId="18">
    <w:abstractNumId w:val="46"/>
  </w:num>
  <w:num w:numId="19">
    <w:abstractNumId w:val="11"/>
  </w:num>
  <w:num w:numId="20">
    <w:abstractNumId w:val="15"/>
  </w:num>
  <w:num w:numId="21">
    <w:abstractNumId w:val="27"/>
  </w:num>
  <w:num w:numId="22">
    <w:abstractNumId w:val="16"/>
  </w:num>
  <w:num w:numId="23">
    <w:abstractNumId w:val="2"/>
  </w:num>
  <w:num w:numId="24">
    <w:abstractNumId w:val="8"/>
  </w:num>
  <w:num w:numId="25">
    <w:abstractNumId w:val="30"/>
  </w:num>
  <w:num w:numId="26">
    <w:abstractNumId w:val="35"/>
  </w:num>
  <w:num w:numId="27">
    <w:abstractNumId w:val="33"/>
  </w:num>
  <w:num w:numId="28">
    <w:abstractNumId w:val="7"/>
  </w:num>
  <w:num w:numId="29">
    <w:abstractNumId w:val="22"/>
  </w:num>
  <w:num w:numId="30">
    <w:abstractNumId w:val="31"/>
  </w:num>
  <w:num w:numId="31">
    <w:abstractNumId w:val="10"/>
  </w:num>
  <w:num w:numId="32">
    <w:abstractNumId w:val="19"/>
  </w:num>
  <w:num w:numId="33">
    <w:abstractNumId w:val="25"/>
  </w:num>
  <w:num w:numId="34">
    <w:abstractNumId w:val="39"/>
  </w:num>
  <w:num w:numId="35">
    <w:abstractNumId w:val="21"/>
  </w:num>
  <w:num w:numId="36">
    <w:abstractNumId w:val="12"/>
  </w:num>
  <w:num w:numId="37">
    <w:abstractNumId w:val="32"/>
  </w:num>
  <w:num w:numId="38">
    <w:abstractNumId w:val="26"/>
  </w:num>
  <w:num w:numId="39">
    <w:abstractNumId w:val="4"/>
  </w:num>
  <w:num w:numId="40">
    <w:abstractNumId w:val="14"/>
  </w:num>
  <w:num w:numId="41">
    <w:abstractNumId w:val="40"/>
  </w:num>
  <w:num w:numId="42">
    <w:abstractNumId w:val="44"/>
  </w:num>
  <w:num w:numId="43">
    <w:abstractNumId w:val="43"/>
  </w:num>
  <w:num w:numId="44">
    <w:abstractNumId w:val="20"/>
  </w:num>
  <w:num w:numId="45">
    <w:abstractNumId w:val="24"/>
  </w:num>
  <w:num w:numId="46">
    <w:abstractNumId w:val="28"/>
  </w:num>
  <w:num w:numId="47">
    <w:abstractNumId w:val="48"/>
  </w:num>
  <w:num w:numId="48">
    <w:abstractNumId w:val="34"/>
  </w:num>
  <w:num w:numId="49">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54"/>
    <w:rsid w:val="00004AAE"/>
    <w:rsid w:val="000052EF"/>
    <w:rsid w:val="00005692"/>
    <w:rsid w:val="0000662A"/>
    <w:rsid w:val="00015601"/>
    <w:rsid w:val="0002299A"/>
    <w:rsid w:val="00033F90"/>
    <w:rsid w:val="000352F6"/>
    <w:rsid w:val="00041C53"/>
    <w:rsid w:val="00046F7F"/>
    <w:rsid w:val="00052348"/>
    <w:rsid w:val="00052F1E"/>
    <w:rsid w:val="0005446A"/>
    <w:rsid w:val="0005544C"/>
    <w:rsid w:val="00061C51"/>
    <w:rsid w:val="0006309E"/>
    <w:rsid w:val="000636C3"/>
    <w:rsid w:val="000638D4"/>
    <w:rsid w:val="000663BB"/>
    <w:rsid w:val="000754CC"/>
    <w:rsid w:val="00081B93"/>
    <w:rsid w:val="00083544"/>
    <w:rsid w:val="00083BAB"/>
    <w:rsid w:val="00090939"/>
    <w:rsid w:val="00097735"/>
    <w:rsid w:val="000978D1"/>
    <w:rsid w:val="000A3CDA"/>
    <w:rsid w:val="000A4A9A"/>
    <w:rsid w:val="000A664A"/>
    <w:rsid w:val="000B0E82"/>
    <w:rsid w:val="000B1725"/>
    <w:rsid w:val="000B1B06"/>
    <w:rsid w:val="000B22D3"/>
    <w:rsid w:val="000B3E9F"/>
    <w:rsid w:val="000B5867"/>
    <w:rsid w:val="000B5C13"/>
    <w:rsid w:val="000B6C8E"/>
    <w:rsid w:val="000C4F69"/>
    <w:rsid w:val="000D1899"/>
    <w:rsid w:val="000D7334"/>
    <w:rsid w:val="000E7741"/>
    <w:rsid w:val="000F0660"/>
    <w:rsid w:val="000F19D9"/>
    <w:rsid w:val="000F5ECC"/>
    <w:rsid w:val="000F7C2C"/>
    <w:rsid w:val="00104BC3"/>
    <w:rsid w:val="001079C7"/>
    <w:rsid w:val="00107D66"/>
    <w:rsid w:val="001267C5"/>
    <w:rsid w:val="001269AE"/>
    <w:rsid w:val="00130E79"/>
    <w:rsid w:val="00134186"/>
    <w:rsid w:val="0013448C"/>
    <w:rsid w:val="00137E30"/>
    <w:rsid w:val="00141FFC"/>
    <w:rsid w:val="00142037"/>
    <w:rsid w:val="001437DB"/>
    <w:rsid w:val="00143F8B"/>
    <w:rsid w:val="001523C6"/>
    <w:rsid w:val="00160263"/>
    <w:rsid w:val="001619AF"/>
    <w:rsid w:val="0016665F"/>
    <w:rsid w:val="00170A77"/>
    <w:rsid w:val="00175AC8"/>
    <w:rsid w:val="00180126"/>
    <w:rsid w:val="00183467"/>
    <w:rsid w:val="00183506"/>
    <w:rsid w:val="00190F58"/>
    <w:rsid w:val="00192AFD"/>
    <w:rsid w:val="00193EEB"/>
    <w:rsid w:val="001A09FE"/>
    <w:rsid w:val="001A1F32"/>
    <w:rsid w:val="001A2813"/>
    <w:rsid w:val="001A3413"/>
    <w:rsid w:val="001A59E5"/>
    <w:rsid w:val="001B4FFF"/>
    <w:rsid w:val="001B722E"/>
    <w:rsid w:val="001C1574"/>
    <w:rsid w:val="001C312A"/>
    <w:rsid w:val="001D1483"/>
    <w:rsid w:val="001D48AC"/>
    <w:rsid w:val="001D6147"/>
    <w:rsid w:val="001E0CE4"/>
    <w:rsid w:val="001E70B9"/>
    <w:rsid w:val="001F3A4A"/>
    <w:rsid w:val="00201EF7"/>
    <w:rsid w:val="00204869"/>
    <w:rsid w:val="00210BD1"/>
    <w:rsid w:val="00212FD1"/>
    <w:rsid w:val="002223F6"/>
    <w:rsid w:val="00227FFD"/>
    <w:rsid w:val="00231C91"/>
    <w:rsid w:val="00231D82"/>
    <w:rsid w:val="0023514D"/>
    <w:rsid w:val="00237D2B"/>
    <w:rsid w:val="002401E3"/>
    <w:rsid w:val="00247241"/>
    <w:rsid w:val="002512EA"/>
    <w:rsid w:val="00251985"/>
    <w:rsid w:val="00253EC5"/>
    <w:rsid w:val="00257A14"/>
    <w:rsid w:val="00260EA2"/>
    <w:rsid w:val="00261D78"/>
    <w:rsid w:val="0026327C"/>
    <w:rsid w:val="002633B5"/>
    <w:rsid w:val="00273367"/>
    <w:rsid w:val="002748F3"/>
    <w:rsid w:val="00282E47"/>
    <w:rsid w:val="00284A42"/>
    <w:rsid w:val="0029136D"/>
    <w:rsid w:val="00291580"/>
    <w:rsid w:val="00292D16"/>
    <w:rsid w:val="002946B8"/>
    <w:rsid w:val="002948FE"/>
    <w:rsid w:val="002A1BC1"/>
    <w:rsid w:val="002A28CE"/>
    <w:rsid w:val="002B3F9E"/>
    <w:rsid w:val="002B486F"/>
    <w:rsid w:val="002B57A0"/>
    <w:rsid w:val="002B5EAC"/>
    <w:rsid w:val="002B7B84"/>
    <w:rsid w:val="002C182B"/>
    <w:rsid w:val="002C6E4C"/>
    <w:rsid w:val="002D07C8"/>
    <w:rsid w:val="002D1024"/>
    <w:rsid w:val="002D354E"/>
    <w:rsid w:val="002D46DB"/>
    <w:rsid w:val="002D5132"/>
    <w:rsid w:val="002D6A7E"/>
    <w:rsid w:val="002E046F"/>
    <w:rsid w:val="002E283D"/>
    <w:rsid w:val="002E2FAC"/>
    <w:rsid w:val="002E3FE5"/>
    <w:rsid w:val="002E646C"/>
    <w:rsid w:val="002E695C"/>
    <w:rsid w:val="002F32EF"/>
    <w:rsid w:val="002F395F"/>
    <w:rsid w:val="002F3E4C"/>
    <w:rsid w:val="002F6E47"/>
    <w:rsid w:val="0030365B"/>
    <w:rsid w:val="0030461C"/>
    <w:rsid w:val="003103D4"/>
    <w:rsid w:val="00310F2E"/>
    <w:rsid w:val="00313AB0"/>
    <w:rsid w:val="0031655C"/>
    <w:rsid w:val="00316923"/>
    <w:rsid w:val="0033285E"/>
    <w:rsid w:val="00333D89"/>
    <w:rsid w:val="00335BB6"/>
    <w:rsid w:val="003410E1"/>
    <w:rsid w:val="00345C30"/>
    <w:rsid w:val="0034656D"/>
    <w:rsid w:val="00346E26"/>
    <w:rsid w:val="003514EC"/>
    <w:rsid w:val="00352710"/>
    <w:rsid w:val="00353B5B"/>
    <w:rsid w:val="003623AA"/>
    <w:rsid w:val="00366D75"/>
    <w:rsid w:val="00374584"/>
    <w:rsid w:val="00380952"/>
    <w:rsid w:val="00381C57"/>
    <w:rsid w:val="003853DC"/>
    <w:rsid w:val="00385C4E"/>
    <w:rsid w:val="00390470"/>
    <w:rsid w:val="003919FE"/>
    <w:rsid w:val="0039559D"/>
    <w:rsid w:val="003964FC"/>
    <w:rsid w:val="00397CBC"/>
    <w:rsid w:val="003A26DA"/>
    <w:rsid w:val="003A7EBA"/>
    <w:rsid w:val="003B3C4D"/>
    <w:rsid w:val="003B5D8D"/>
    <w:rsid w:val="003C1F46"/>
    <w:rsid w:val="003C6854"/>
    <w:rsid w:val="003E191E"/>
    <w:rsid w:val="003E3E64"/>
    <w:rsid w:val="003E742F"/>
    <w:rsid w:val="003F1564"/>
    <w:rsid w:val="003F1607"/>
    <w:rsid w:val="003F2F43"/>
    <w:rsid w:val="003F3399"/>
    <w:rsid w:val="003F7DEE"/>
    <w:rsid w:val="004001BE"/>
    <w:rsid w:val="00400631"/>
    <w:rsid w:val="00406B6C"/>
    <w:rsid w:val="004079C2"/>
    <w:rsid w:val="00412A61"/>
    <w:rsid w:val="004155E4"/>
    <w:rsid w:val="00417E4B"/>
    <w:rsid w:val="004220AB"/>
    <w:rsid w:val="00422490"/>
    <w:rsid w:val="004249F4"/>
    <w:rsid w:val="004271C9"/>
    <w:rsid w:val="00427DAB"/>
    <w:rsid w:val="004305C2"/>
    <w:rsid w:val="00433594"/>
    <w:rsid w:val="0043765C"/>
    <w:rsid w:val="00440DE1"/>
    <w:rsid w:val="00446518"/>
    <w:rsid w:val="00451634"/>
    <w:rsid w:val="0045339C"/>
    <w:rsid w:val="00454B69"/>
    <w:rsid w:val="004614C2"/>
    <w:rsid w:val="00461B12"/>
    <w:rsid w:val="00462F6F"/>
    <w:rsid w:val="0046434A"/>
    <w:rsid w:val="0046591C"/>
    <w:rsid w:val="0047478C"/>
    <w:rsid w:val="004808A7"/>
    <w:rsid w:val="0048190A"/>
    <w:rsid w:val="00482550"/>
    <w:rsid w:val="00482AF1"/>
    <w:rsid w:val="00484C39"/>
    <w:rsid w:val="00485A4A"/>
    <w:rsid w:val="0049282E"/>
    <w:rsid w:val="004A05C3"/>
    <w:rsid w:val="004A3740"/>
    <w:rsid w:val="004B6A27"/>
    <w:rsid w:val="004C1741"/>
    <w:rsid w:val="004C72C9"/>
    <w:rsid w:val="004C738D"/>
    <w:rsid w:val="004D0736"/>
    <w:rsid w:val="004D18F2"/>
    <w:rsid w:val="004D3C05"/>
    <w:rsid w:val="004D4063"/>
    <w:rsid w:val="004D4270"/>
    <w:rsid w:val="004D5A7C"/>
    <w:rsid w:val="004D60F9"/>
    <w:rsid w:val="004E06B7"/>
    <w:rsid w:val="004E1689"/>
    <w:rsid w:val="004E26DE"/>
    <w:rsid w:val="004E2B7D"/>
    <w:rsid w:val="004E61EC"/>
    <w:rsid w:val="004F0FF0"/>
    <w:rsid w:val="004F2EFA"/>
    <w:rsid w:val="004F3CF2"/>
    <w:rsid w:val="004F7296"/>
    <w:rsid w:val="004F75ED"/>
    <w:rsid w:val="005047AD"/>
    <w:rsid w:val="005128AC"/>
    <w:rsid w:val="00512964"/>
    <w:rsid w:val="00514DA4"/>
    <w:rsid w:val="00515A73"/>
    <w:rsid w:val="005160ED"/>
    <w:rsid w:val="00516F69"/>
    <w:rsid w:val="00517B2C"/>
    <w:rsid w:val="005246C9"/>
    <w:rsid w:val="00530AB3"/>
    <w:rsid w:val="0053537E"/>
    <w:rsid w:val="00543B93"/>
    <w:rsid w:val="00543F0A"/>
    <w:rsid w:val="00544A10"/>
    <w:rsid w:val="00546C90"/>
    <w:rsid w:val="005514A3"/>
    <w:rsid w:val="005520CD"/>
    <w:rsid w:val="0056217D"/>
    <w:rsid w:val="00563F06"/>
    <w:rsid w:val="0057108F"/>
    <w:rsid w:val="00571CDB"/>
    <w:rsid w:val="00573E86"/>
    <w:rsid w:val="00577723"/>
    <w:rsid w:val="005777F8"/>
    <w:rsid w:val="00582E08"/>
    <w:rsid w:val="0058466A"/>
    <w:rsid w:val="005949E8"/>
    <w:rsid w:val="00596ED9"/>
    <w:rsid w:val="00597EE0"/>
    <w:rsid w:val="005A2C17"/>
    <w:rsid w:val="005A4566"/>
    <w:rsid w:val="005A4957"/>
    <w:rsid w:val="005B2710"/>
    <w:rsid w:val="005C5B88"/>
    <w:rsid w:val="005C6FEC"/>
    <w:rsid w:val="005D17DE"/>
    <w:rsid w:val="005D3229"/>
    <w:rsid w:val="005D39B7"/>
    <w:rsid w:val="005D5A28"/>
    <w:rsid w:val="005E57A8"/>
    <w:rsid w:val="005E5C56"/>
    <w:rsid w:val="005F0492"/>
    <w:rsid w:val="005F7DA4"/>
    <w:rsid w:val="00600B6B"/>
    <w:rsid w:val="00612CDF"/>
    <w:rsid w:val="00622FEC"/>
    <w:rsid w:val="00624BCF"/>
    <w:rsid w:val="006257FB"/>
    <w:rsid w:val="00626239"/>
    <w:rsid w:val="00632FD7"/>
    <w:rsid w:val="00633C36"/>
    <w:rsid w:val="0063619A"/>
    <w:rsid w:val="00636957"/>
    <w:rsid w:val="006425E8"/>
    <w:rsid w:val="00643772"/>
    <w:rsid w:val="00646421"/>
    <w:rsid w:val="006475C2"/>
    <w:rsid w:val="00647AE4"/>
    <w:rsid w:val="00654BC3"/>
    <w:rsid w:val="00662225"/>
    <w:rsid w:val="00662490"/>
    <w:rsid w:val="006660BA"/>
    <w:rsid w:val="00670527"/>
    <w:rsid w:val="00671215"/>
    <w:rsid w:val="00672532"/>
    <w:rsid w:val="006769BF"/>
    <w:rsid w:val="00677F0E"/>
    <w:rsid w:val="00684ED5"/>
    <w:rsid w:val="006860DF"/>
    <w:rsid w:val="0069131D"/>
    <w:rsid w:val="00692B3E"/>
    <w:rsid w:val="00693FAB"/>
    <w:rsid w:val="006A3029"/>
    <w:rsid w:val="006B1C93"/>
    <w:rsid w:val="006B3016"/>
    <w:rsid w:val="006B30AB"/>
    <w:rsid w:val="006B3C8C"/>
    <w:rsid w:val="006C238F"/>
    <w:rsid w:val="006C5CD7"/>
    <w:rsid w:val="006C5D3B"/>
    <w:rsid w:val="006C7F46"/>
    <w:rsid w:val="006D063D"/>
    <w:rsid w:val="006D0F6A"/>
    <w:rsid w:val="006D3C8E"/>
    <w:rsid w:val="006E0824"/>
    <w:rsid w:val="006E3F70"/>
    <w:rsid w:val="006E5AEB"/>
    <w:rsid w:val="006E6621"/>
    <w:rsid w:val="006F14D2"/>
    <w:rsid w:val="006F6325"/>
    <w:rsid w:val="0070571E"/>
    <w:rsid w:val="00705746"/>
    <w:rsid w:val="007103C8"/>
    <w:rsid w:val="00710E11"/>
    <w:rsid w:val="00717453"/>
    <w:rsid w:val="00723DAE"/>
    <w:rsid w:val="007319F8"/>
    <w:rsid w:val="00735082"/>
    <w:rsid w:val="007376F0"/>
    <w:rsid w:val="007412D7"/>
    <w:rsid w:val="007435E4"/>
    <w:rsid w:val="0074740B"/>
    <w:rsid w:val="00750785"/>
    <w:rsid w:val="00753EC4"/>
    <w:rsid w:val="007752AF"/>
    <w:rsid w:val="00777A0A"/>
    <w:rsid w:val="00780643"/>
    <w:rsid w:val="007822C8"/>
    <w:rsid w:val="007850AE"/>
    <w:rsid w:val="00787326"/>
    <w:rsid w:val="00791C0F"/>
    <w:rsid w:val="007930CA"/>
    <w:rsid w:val="00793889"/>
    <w:rsid w:val="00794548"/>
    <w:rsid w:val="007A3FF9"/>
    <w:rsid w:val="007B3B3D"/>
    <w:rsid w:val="007B4D94"/>
    <w:rsid w:val="007C4342"/>
    <w:rsid w:val="007D2899"/>
    <w:rsid w:val="007D520B"/>
    <w:rsid w:val="007E0945"/>
    <w:rsid w:val="007F4558"/>
    <w:rsid w:val="00800353"/>
    <w:rsid w:val="00803E0D"/>
    <w:rsid w:val="00812FF8"/>
    <w:rsid w:val="00814DEB"/>
    <w:rsid w:val="00814F01"/>
    <w:rsid w:val="008217E4"/>
    <w:rsid w:val="00822515"/>
    <w:rsid w:val="00826D19"/>
    <w:rsid w:val="0083027E"/>
    <w:rsid w:val="0083111C"/>
    <w:rsid w:val="00843088"/>
    <w:rsid w:val="00843D48"/>
    <w:rsid w:val="008507AE"/>
    <w:rsid w:val="00852F3B"/>
    <w:rsid w:val="0085302F"/>
    <w:rsid w:val="00854E33"/>
    <w:rsid w:val="00854EB5"/>
    <w:rsid w:val="00856552"/>
    <w:rsid w:val="0086266F"/>
    <w:rsid w:val="00864A1E"/>
    <w:rsid w:val="008661A9"/>
    <w:rsid w:val="008706A9"/>
    <w:rsid w:val="008711F7"/>
    <w:rsid w:val="008732CF"/>
    <w:rsid w:val="0088393C"/>
    <w:rsid w:val="00887CE9"/>
    <w:rsid w:val="00894377"/>
    <w:rsid w:val="008A5E9D"/>
    <w:rsid w:val="008B0458"/>
    <w:rsid w:val="008B0753"/>
    <w:rsid w:val="008B3D0F"/>
    <w:rsid w:val="008B4281"/>
    <w:rsid w:val="008C46B7"/>
    <w:rsid w:val="008C6C6A"/>
    <w:rsid w:val="008E0147"/>
    <w:rsid w:val="008E57D1"/>
    <w:rsid w:val="008E6331"/>
    <w:rsid w:val="008E7FBA"/>
    <w:rsid w:val="008F7E09"/>
    <w:rsid w:val="0090680A"/>
    <w:rsid w:val="00907565"/>
    <w:rsid w:val="009109F9"/>
    <w:rsid w:val="00911E22"/>
    <w:rsid w:val="00920D32"/>
    <w:rsid w:val="00921FC0"/>
    <w:rsid w:val="00924E09"/>
    <w:rsid w:val="0092780F"/>
    <w:rsid w:val="009347D8"/>
    <w:rsid w:val="00936F50"/>
    <w:rsid w:val="00937FD6"/>
    <w:rsid w:val="00940010"/>
    <w:rsid w:val="00953394"/>
    <w:rsid w:val="009566DB"/>
    <w:rsid w:val="00957F74"/>
    <w:rsid w:val="0096288E"/>
    <w:rsid w:val="009634B3"/>
    <w:rsid w:val="0096610F"/>
    <w:rsid w:val="0096623A"/>
    <w:rsid w:val="00967B75"/>
    <w:rsid w:val="009740CA"/>
    <w:rsid w:val="009845C6"/>
    <w:rsid w:val="0099148F"/>
    <w:rsid w:val="00992640"/>
    <w:rsid w:val="00994D19"/>
    <w:rsid w:val="00997450"/>
    <w:rsid w:val="009A342D"/>
    <w:rsid w:val="009A5D55"/>
    <w:rsid w:val="009A672F"/>
    <w:rsid w:val="009A6E29"/>
    <w:rsid w:val="009A759C"/>
    <w:rsid w:val="009B3A4E"/>
    <w:rsid w:val="009B4EDF"/>
    <w:rsid w:val="009B5454"/>
    <w:rsid w:val="009C2FD4"/>
    <w:rsid w:val="009D2777"/>
    <w:rsid w:val="009E2103"/>
    <w:rsid w:val="009E399F"/>
    <w:rsid w:val="009E4BAC"/>
    <w:rsid w:val="009F1525"/>
    <w:rsid w:val="009F3364"/>
    <w:rsid w:val="00A031FA"/>
    <w:rsid w:val="00A048B9"/>
    <w:rsid w:val="00A07B67"/>
    <w:rsid w:val="00A106CB"/>
    <w:rsid w:val="00A10CFC"/>
    <w:rsid w:val="00A23160"/>
    <w:rsid w:val="00A239BB"/>
    <w:rsid w:val="00A300D7"/>
    <w:rsid w:val="00A377FA"/>
    <w:rsid w:val="00A40A7F"/>
    <w:rsid w:val="00A414AF"/>
    <w:rsid w:val="00A4523A"/>
    <w:rsid w:val="00A46A69"/>
    <w:rsid w:val="00A55C4F"/>
    <w:rsid w:val="00A56FC3"/>
    <w:rsid w:val="00A5798A"/>
    <w:rsid w:val="00A645EE"/>
    <w:rsid w:val="00A65BE2"/>
    <w:rsid w:val="00A671B5"/>
    <w:rsid w:val="00A851F4"/>
    <w:rsid w:val="00A91AC6"/>
    <w:rsid w:val="00AA3A13"/>
    <w:rsid w:val="00AA6294"/>
    <w:rsid w:val="00AB1C2C"/>
    <w:rsid w:val="00AB4077"/>
    <w:rsid w:val="00AB4A41"/>
    <w:rsid w:val="00AB7BBD"/>
    <w:rsid w:val="00AC2F6A"/>
    <w:rsid w:val="00AC7A69"/>
    <w:rsid w:val="00AC7B27"/>
    <w:rsid w:val="00AD16E6"/>
    <w:rsid w:val="00AD19F8"/>
    <w:rsid w:val="00AD273C"/>
    <w:rsid w:val="00AE1980"/>
    <w:rsid w:val="00AE2C5F"/>
    <w:rsid w:val="00AE3F2F"/>
    <w:rsid w:val="00AE7DE9"/>
    <w:rsid w:val="00AF1666"/>
    <w:rsid w:val="00AF47EC"/>
    <w:rsid w:val="00AF5C9D"/>
    <w:rsid w:val="00B01638"/>
    <w:rsid w:val="00B1113E"/>
    <w:rsid w:val="00B1542B"/>
    <w:rsid w:val="00B20D1F"/>
    <w:rsid w:val="00B20EC2"/>
    <w:rsid w:val="00B21AF1"/>
    <w:rsid w:val="00B24F5A"/>
    <w:rsid w:val="00B25F02"/>
    <w:rsid w:val="00B36DC1"/>
    <w:rsid w:val="00B41389"/>
    <w:rsid w:val="00B477CF"/>
    <w:rsid w:val="00B47EDE"/>
    <w:rsid w:val="00B54620"/>
    <w:rsid w:val="00B57191"/>
    <w:rsid w:val="00B57F3D"/>
    <w:rsid w:val="00B6188C"/>
    <w:rsid w:val="00B624D7"/>
    <w:rsid w:val="00B64CCE"/>
    <w:rsid w:val="00B76E7D"/>
    <w:rsid w:val="00B8035C"/>
    <w:rsid w:val="00B80D38"/>
    <w:rsid w:val="00B835B3"/>
    <w:rsid w:val="00B8678B"/>
    <w:rsid w:val="00B87DA7"/>
    <w:rsid w:val="00B92DDA"/>
    <w:rsid w:val="00B93566"/>
    <w:rsid w:val="00BA037D"/>
    <w:rsid w:val="00BA2893"/>
    <w:rsid w:val="00BA4F1B"/>
    <w:rsid w:val="00BA4FE7"/>
    <w:rsid w:val="00BA571E"/>
    <w:rsid w:val="00BA5B90"/>
    <w:rsid w:val="00BB3FC3"/>
    <w:rsid w:val="00BB4351"/>
    <w:rsid w:val="00BB4D09"/>
    <w:rsid w:val="00BC0659"/>
    <w:rsid w:val="00BC25CE"/>
    <w:rsid w:val="00BC5897"/>
    <w:rsid w:val="00BD7BC1"/>
    <w:rsid w:val="00BE37AB"/>
    <w:rsid w:val="00BE3BEF"/>
    <w:rsid w:val="00BF3353"/>
    <w:rsid w:val="00C07D9B"/>
    <w:rsid w:val="00C23BA9"/>
    <w:rsid w:val="00C2469E"/>
    <w:rsid w:val="00C2733C"/>
    <w:rsid w:val="00C31DBE"/>
    <w:rsid w:val="00C356A9"/>
    <w:rsid w:val="00C5170A"/>
    <w:rsid w:val="00C56F40"/>
    <w:rsid w:val="00C60BA1"/>
    <w:rsid w:val="00C628D4"/>
    <w:rsid w:val="00C70554"/>
    <w:rsid w:val="00C71F41"/>
    <w:rsid w:val="00C7263E"/>
    <w:rsid w:val="00C76D27"/>
    <w:rsid w:val="00C91DB5"/>
    <w:rsid w:val="00C9642F"/>
    <w:rsid w:val="00CA2AEE"/>
    <w:rsid w:val="00CA31B8"/>
    <w:rsid w:val="00CC3B42"/>
    <w:rsid w:val="00CC3B8C"/>
    <w:rsid w:val="00CC6129"/>
    <w:rsid w:val="00CD17EF"/>
    <w:rsid w:val="00CD5E5F"/>
    <w:rsid w:val="00CE245A"/>
    <w:rsid w:val="00CE2688"/>
    <w:rsid w:val="00CE3357"/>
    <w:rsid w:val="00CE3BD2"/>
    <w:rsid w:val="00CE48A9"/>
    <w:rsid w:val="00CF0CFA"/>
    <w:rsid w:val="00CF0D04"/>
    <w:rsid w:val="00CF0E24"/>
    <w:rsid w:val="00D015F9"/>
    <w:rsid w:val="00D01FDA"/>
    <w:rsid w:val="00D12FC9"/>
    <w:rsid w:val="00D148BA"/>
    <w:rsid w:val="00D21EFA"/>
    <w:rsid w:val="00D23BAF"/>
    <w:rsid w:val="00D259DB"/>
    <w:rsid w:val="00D328B3"/>
    <w:rsid w:val="00D44EE6"/>
    <w:rsid w:val="00D46B4A"/>
    <w:rsid w:val="00D46D57"/>
    <w:rsid w:val="00D573ED"/>
    <w:rsid w:val="00D57FF3"/>
    <w:rsid w:val="00D61A36"/>
    <w:rsid w:val="00D622F1"/>
    <w:rsid w:val="00D63E75"/>
    <w:rsid w:val="00D6678A"/>
    <w:rsid w:val="00D668D3"/>
    <w:rsid w:val="00D6726D"/>
    <w:rsid w:val="00D72A4D"/>
    <w:rsid w:val="00D72C99"/>
    <w:rsid w:val="00D73B7C"/>
    <w:rsid w:val="00D84940"/>
    <w:rsid w:val="00D864F6"/>
    <w:rsid w:val="00D919F4"/>
    <w:rsid w:val="00D91AC6"/>
    <w:rsid w:val="00D91EF6"/>
    <w:rsid w:val="00D96143"/>
    <w:rsid w:val="00DB04AE"/>
    <w:rsid w:val="00DB0B07"/>
    <w:rsid w:val="00DB1484"/>
    <w:rsid w:val="00DB48C7"/>
    <w:rsid w:val="00DB64E7"/>
    <w:rsid w:val="00DB7C54"/>
    <w:rsid w:val="00DC1521"/>
    <w:rsid w:val="00DC1C99"/>
    <w:rsid w:val="00DC23C9"/>
    <w:rsid w:val="00DC294D"/>
    <w:rsid w:val="00DC2D3C"/>
    <w:rsid w:val="00DC36BF"/>
    <w:rsid w:val="00DC777F"/>
    <w:rsid w:val="00DD5758"/>
    <w:rsid w:val="00DD5B10"/>
    <w:rsid w:val="00DE3881"/>
    <w:rsid w:val="00DE57C7"/>
    <w:rsid w:val="00DE7135"/>
    <w:rsid w:val="00DF00BD"/>
    <w:rsid w:val="00DF014E"/>
    <w:rsid w:val="00DF512D"/>
    <w:rsid w:val="00DF6E74"/>
    <w:rsid w:val="00E0315B"/>
    <w:rsid w:val="00E0391F"/>
    <w:rsid w:val="00E07A62"/>
    <w:rsid w:val="00E07B8B"/>
    <w:rsid w:val="00E10842"/>
    <w:rsid w:val="00E17614"/>
    <w:rsid w:val="00E17DA9"/>
    <w:rsid w:val="00E20858"/>
    <w:rsid w:val="00E23FA6"/>
    <w:rsid w:val="00E26142"/>
    <w:rsid w:val="00E2768C"/>
    <w:rsid w:val="00E31CA5"/>
    <w:rsid w:val="00E418D1"/>
    <w:rsid w:val="00E42548"/>
    <w:rsid w:val="00E458CD"/>
    <w:rsid w:val="00E45A58"/>
    <w:rsid w:val="00E4635E"/>
    <w:rsid w:val="00E60417"/>
    <w:rsid w:val="00E61284"/>
    <w:rsid w:val="00E61FA6"/>
    <w:rsid w:val="00E63B00"/>
    <w:rsid w:val="00E662A6"/>
    <w:rsid w:val="00E723A0"/>
    <w:rsid w:val="00E83B55"/>
    <w:rsid w:val="00E86245"/>
    <w:rsid w:val="00E87EAA"/>
    <w:rsid w:val="00E929BA"/>
    <w:rsid w:val="00E95B28"/>
    <w:rsid w:val="00E97414"/>
    <w:rsid w:val="00E97C4B"/>
    <w:rsid w:val="00EA1A48"/>
    <w:rsid w:val="00EA3BD8"/>
    <w:rsid w:val="00EA4516"/>
    <w:rsid w:val="00EA4864"/>
    <w:rsid w:val="00EA53D8"/>
    <w:rsid w:val="00EA59A5"/>
    <w:rsid w:val="00EA64BE"/>
    <w:rsid w:val="00EB0417"/>
    <w:rsid w:val="00EB3009"/>
    <w:rsid w:val="00EC3704"/>
    <w:rsid w:val="00EC41F6"/>
    <w:rsid w:val="00EC5320"/>
    <w:rsid w:val="00EC748D"/>
    <w:rsid w:val="00ED2149"/>
    <w:rsid w:val="00ED5836"/>
    <w:rsid w:val="00EE6D3A"/>
    <w:rsid w:val="00EF1013"/>
    <w:rsid w:val="00EF1F71"/>
    <w:rsid w:val="00EF23C6"/>
    <w:rsid w:val="00EF60BF"/>
    <w:rsid w:val="00F05774"/>
    <w:rsid w:val="00F157D3"/>
    <w:rsid w:val="00F218EB"/>
    <w:rsid w:val="00F23424"/>
    <w:rsid w:val="00F26815"/>
    <w:rsid w:val="00F269B4"/>
    <w:rsid w:val="00F326F7"/>
    <w:rsid w:val="00F32D43"/>
    <w:rsid w:val="00F3444D"/>
    <w:rsid w:val="00F34E8F"/>
    <w:rsid w:val="00F42B9B"/>
    <w:rsid w:val="00F503E2"/>
    <w:rsid w:val="00F52421"/>
    <w:rsid w:val="00F554B0"/>
    <w:rsid w:val="00F57C85"/>
    <w:rsid w:val="00F60A3E"/>
    <w:rsid w:val="00F705F5"/>
    <w:rsid w:val="00F7668C"/>
    <w:rsid w:val="00F824CC"/>
    <w:rsid w:val="00F839E5"/>
    <w:rsid w:val="00F842BB"/>
    <w:rsid w:val="00F90F43"/>
    <w:rsid w:val="00F9161A"/>
    <w:rsid w:val="00F919B5"/>
    <w:rsid w:val="00F95599"/>
    <w:rsid w:val="00F970C5"/>
    <w:rsid w:val="00F97C5A"/>
    <w:rsid w:val="00FB0930"/>
    <w:rsid w:val="00FC1C49"/>
    <w:rsid w:val="00FC2691"/>
    <w:rsid w:val="00FC3460"/>
    <w:rsid w:val="00FC3A5B"/>
    <w:rsid w:val="00FD06C7"/>
    <w:rsid w:val="00FD3C03"/>
    <w:rsid w:val="00FD6341"/>
    <w:rsid w:val="00FE1BEB"/>
    <w:rsid w:val="00FE324F"/>
    <w:rsid w:val="00FE6D64"/>
    <w:rsid w:val="00FF5048"/>
    <w:rsid w:val="00FF61B3"/>
    <w:rsid w:val="28B381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8A76"/>
  <w15:chartTrackingRefBased/>
  <w15:docId w15:val="{6BE42267-13B1-41E6-9592-2423FA3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D7"/>
    <w:rPr>
      <w:rFonts w:ascii="Arial" w:hAnsi="Arial"/>
    </w:rPr>
  </w:style>
  <w:style w:type="paragraph" w:styleId="Heading1">
    <w:name w:val="heading 1"/>
    <w:basedOn w:val="Normal"/>
    <w:next w:val="Normal"/>
    <w:link w:val="Heading1Char"/>
    <w:uiPriority w:val="9"/>
    <w:qFormat/>
    <w:rsid w:val="0057108F"/>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outlineLvl w:val="0"/>
    </w:pPr>
    <w:rPr>
      <w:rFonts w:eastAsiaTheme="majorEastAsia" w:cs="Arial"/>
      <w:b/>
      <w:sz w:val="30"/>
      <w:szCs w:val="30"/>
    </w:rPr>
  </w:style>
  <w:style w:type="paragraph" w:styleId="Heading2">
    <w:name w:val="heading 2"/>
    <w:basedOn w:val="Normal"/>
    <w:next w:val="Normal"/>
    <w:link w:val="Heading2Char"/>
    <w:autoRedefine/>
    <w:uiPriority w:val="9"/>
    <w:unhideWhenUsed/>
    <w:qFormat/>
    <w:rsid w:val="0045339C"/>
    <w:pPr>
      <w:keepNext/>
      <w:keepLines/>
      <w:numPr>
        <w:ilvl w:val="1"/>
        <w:numId w:val="6"/>
      </w:numPr>
      <w:shd w:val="clear" w:color="auto" w:fill="D9D9D9" w:themeFill="background1" w:themeFillShade="D9"/>
      <w:spacing w:after="120" w:line="240" w:lineRule="auto"/>
      <w:ind w:left="0" w:firstLine="0"/>
      <w:outlineLvl w:val="1"/>
    </w:pPr>
    <w:rPr>
      <w:rFonts w:eastAsiaTheme="majorEastAsia" w:cstheme="majorBidi"/>
      <w:b/>
    </w:rPr>
  </w:style>
  <w:style w:type="paragraph" w:styleId="Heading3">
    <w:name w:val="heading 3"/>
    <w:basedOn w:val="Normal"/>
    <w:next w:val="Normal"/>
    <w:link w:val="Heading3Char"/>
    <w:autoRedefine/>
    <w:uiPriority w:val="9"/>
    <w:unhideWhenUsed/>
    <w:qFormat/>
    <w:rsid w:val="0029136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0662A"/>
    <w:pPr>
      <w:keepNext/>
      <w:keepLines/>
      <w:spacing w:before="40" w:after="0"/>
      <w:outlineLvl w:val="3"/>
    </w:pPr>
    <w:rPr>
      <w:rFonts w:asciiTheme="majorHAnsi" w:eastAsiaTheme="majorEastAsia" w:hAnsiTheme="majorHAnsi" w:cstheme="majorBidi"/>
      <w:i/>
      <w:iCs/>
      <w:color w:val="6799C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08F"/>
    <w:rPr>
      <w:rFonts w:ascii="Arial" w:eastAsiaTheme="majorEastAsia" w:hAnsi="Arial" w:cs="Arial"/>
      <w:b/>
      <w:sz w:val="30"/>
      <w:szCs w:val="30"/>
      <w:shd w:val="clear" w:color="auto" w:fill="D9D9D9" w:themeFill="background1" w:themeFillShade="D9"/>
    </w:rPr>
  </w:style>
  <w:style w:type="paragraph" w:styleId="TOCHeading">
    <w:name w:val="TOC Heading"/>
    <w:basedOn w:val="Heading1"/>
    <w:next w:val="Normal"/>
    <w:uiPriority w:val="39"/>
    <w:unhideWhenUsed/>
    <w:qFormat/>
    <w:rsid w:val="009B5454"/>
    <w:pPr>
      <w:spacing w:line="260" w:lineRule="atLeast"/>
      <w:outlineLvl w:val="9"/>
    </w:pPr>
  </w:style>
  <w:style w:type="paragraph" w:styleId="Header">
    <w:name w:val="header"/>
    <w:basedOn w:val="Normal"/>
    <w:link w:val="HeaderChar"/>
    <w:uiPriority w:val="99"/>
    <w:unhideWhenUsed/>
    <w:rsid w:val="009B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54"/>
  </w:style>
  <w:style w:type="paragraph" w:styleId="Footer">
    <w:name w:val="footer"/>
    <w:basedOn w:val="Normal"/>
    <w:link w:val="FooterChar"/>
    <w:uiPriority w:val="99"/>
    <w:unhideWhenUsed/>
    <w:rsid w:val="009B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54"/>
  </w:style>
  <w:style w:type="table" w:styleId="MediumList2-Accent1">
    <w:name w:val="Medium List 2 Accent 1"/>
    <w:basedOn w:val="TableNormal"/>
    <w:uiPriority w:val="66"/>
    <w:unhideWhenUsed/>
    <w:rsid w:val="001C312A"/>
    <w:pPr>
      <w:spacing w:after="0" w:line="240" w:lineRule="auto"/>
    </w:pPr>
    <w:rPr>
      <w:rFonts w:ascii="Arial" w:eastAsiaTheme="majorEastAsia" w:hAnsi="Arial" w:cs="Arial"/>
      <w:color w:val="404040" w:themeColor="text1"/>
      <w:lang w:val="en-GB"/>
    </w:rPr>
    <w:tblPr>
      <w:tblStyleRowBandSize w:val="1"/>
      <w:tblStyleColBandSize w:val="1"/>
      <w:tblBorders>
        <w:top w:val="single" w:sz="8" w:space="0" w:color="B3CCE4" w:themeColor="accent1"/>
        <w:left w:val="single" w:sz="8" w:space="0" w:color="B3CCE4" w:themeColor="accent1"/>
        <w:bottom w:val="single" w:sz="8" w:space="0" w:color="B3CCE4" w:themeColor="accent1"/>
        <w:right w:val="single" w:sz="8" w:space="0" w:color="B3CCE4" w:themeColor="accent1"/>
      </w:tblBorders>
    </w:tblPr>
    <w:tblStylePr w:type="firstRow">
      <w:rPr>
        <w:sz w:val="24"/>
        <w:szCs w:val="24"/>
      </w:rPr>
      <w:tblPr/>
      <w:tcPr>
        <w:tcBorders>
          <w:top w:val="nil"/>
          <w:left w:val="nil"/>
          <w:bottom w:val="single" w:sz="24" w:space="0" w:color="B3CC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E4" w:themeColor="accent1"/>
          <w:insideH w:val="nil"/>
          <w:insideV w:val="nil"/>
        </w:tcBorders>
        <w:shd w:val="clear" w:color="auto" w:fill="FFFFFF" w:themeFill="background1"/>
      </w:tcPr>
    </w:tblStylePr>
    <w:tblStylePr w:type="lastCol">
      <w:tblPr/>
      <w:tcPr>
        <w:tcBorders>
          <w:top w:val="nil"/>
          <w:left w:val="single" w:sz="8" w:space="0" w:color="B3CC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8" w:themeFill="accent1" w:themeFillTint="3F"/>
      </w:tcPr>
    </w:tblStylePr>
    <w:tblStylePr w:type="band1Horz">
      <w:tblPr/>
      <w:tcPr>
        <w:tcBorders>
          <w:top w:val="nil"/>
          <w:bottom w:val="nil"/>
          <w:insideH w:val="nil"/>
          <w:insideV w:val="nil"/>
        </w:tcBorders>
        <w:shd w:val="clear" w:color="auto" w:fill="ECF2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45339C"/>
    <w:rPr>
      <w:rFonts w:ascii="Arial" w:eastAsiaTheme="majorEastAsia" w:hAnsi="Arial" w:cstheme="majorBidi"/>
      <w:b/>
      <w:shd w:val="clear" w:color="auto" w:fill="D9D9D9" w:themeFill="background1" w:themeFillShade="D9"/>
    </w:rPr>
  </w:style>
  <w:style w:type="table" w:styleId="TableGrid">
    <w:name w:val="Table Grid"/>
    <w:basedOn w:val="TableNormal"/>
    <w:uiPriority w:val="39"/>
    <w:rsid w:val="006C238F"/>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
    <w:name w:val="Tiny"/>
    <w:basedOn w:val="Normal"/>
    <w:uiPriority w:val="15"/>
    <w:semiHidden/>
    <w:qFormat/>
    <w:rsid w:val="006C238F"/>
    <w:pPr>
      <w:spacing w:after="0" w:line="240" w:lineRule="auto"/>
    </w:pPr>
    <w:rPr>
      <w:sz w:val="2"/>
    </w:rPr>
  </w:style>
  <w:style w:type="character" w:styleId="Hyperlink">
    <w:name w:val="Hyperlink"/>
    <w:basedOn w:val="DefaultParagraphFont"/>
    <w:uiPriority w:val="99"/>
    <w:unhideWhenUsed/>
    <w:rsid w:val="006C238F"/>
    <w:rPr>
      <w:color w:val="0563C1" w:themeColor="hyperlink"/>
      <w:u w:val="single"/>
      <w:lang w:val="en-US"/>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6C238F"/>
    <w:pPr>
      <w:spacing w:line="260" w:lineRule="atLeast"/>
      <w:ind w:left="720"/>
      <w:contextualSpacing/>
    </w:pPr>
  </w:style>
  <w:style w:type="numbering" w:customStyle="1" w:styleId="NumHeadingsLst">
    <w:name w:val="NumHeadingsLst"/>
    <w:uiPriority w:val="99"/>
    <w:rsid w:val="006C238F"/>
    <w:pPr>
      <w:numPr>
        <w:numId w:val="2"/>
      </w:numPr>
    </w:p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6C238F"/>
    <w:rPr>
      <w:rFonts w:ascii="Arial" w:hAnsi="Arial"/>
    </w:rPr>
  </w:style>
  <w:style w:type="table" w:customStyle="1" w:styleId="TableGrid2">
    <w:name w:val="Table Grid2"/>
    <w:basedOn w:val="TableNormal"/>
    <w:next w:val="TableGrid"/>
    <w:uiPriority w:val="59"/>
    <w:rsid w:val="006C238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8C"/>
    <w:rPr>
      <w:rFonts w:asciiTheme="majorHAnsi" w:eastAsiaTheme="majorEastAsia" w:hAnsiTheme="majorHAnsi" w:cstheme="majorBidi"/>
      <w:spacing w:val="-10"/>
      <w:kern w:val="28"/>
      <w:sz w:val="56"/>
      <w:szCs w:val="56"/>
    </w:rPr>
  </w:style>
  <w:style w:type="table" w:styleId="ListTable7Colorful-Accent6">
    <w:name w:val="List Table 7 Colorful Accent 6"/>
    <w:basedOn w:val="TableNormal"/>
    <w:uiPriority w:val="52"/>
    <w:rsid w:val="00CE3357"/>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E3357"/>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E3357"/>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E3357"/>
    <w:pPr>
      <w:spacing w:after="0" w:line="240" w:lineRule="auto"/>
    </w:pPr>
    <w:rPr>
      <w:color w:val="3567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A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A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A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AC1" w:themeColor="accent3"/>
        </w:tcBorders>
        <w:shd w:val="clear" w:color="auto" w:fill="FFFFFF" w:themeFill="background1"/>
      </w:tcPr>
    </w:tblStylePr>
    <w:tblStylePr w:type="band1Vert">
      <w:tblPr/>
      <w:tcPr>
        <w:shd w:val="clear" w:color="auto" w:fill="DBE7F2" w:themeFill="accent3" w:themeFillTint="33"/>
      </w:tcPr>
    </w:tblStylePr>
    <w:tblStylePr w:type="band1Horz">
      <w:tblPr/>
      <w:tcPr>
        <w:shd w:val="clear" w:color="auto" w:fill="DBE7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E3357"/>
    <w:pPr>
      <w:spacing w:after="0" w:line="240" w:lineRule="auto"/>
    </w:pPr>
    <w:rPr>
      <w:color w:val="4B86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3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3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3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3D7" w:themeColor="accent2"/>
        </w:tcBorders>
        <w:shd w:val="clear" w:color="auto" w:fill="FFFFFF" w:themeFill="background1"/>
      </w:tcPr>
    </w:tblStylePr>
    <w:tblStylePr w:type="band1Vert">
      <w:tblPr/>
      <w:tcPr>
        <w:shd w:val="clear" w:color="auto" w:fill="E8EFF7" w:themeFill="accent2" w:themeFillTint="33"/>
      </w:tcPr>
    </w:tblStylePr>
    <w:tblStylePr w:type="band1Horz">
      <w:tblPr/>
      <w:tcPr>
        <w:shd w:val="clear" w:color="auto" w:fill="E8EF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3357"/>
    <w:pPr>
      <w:spacing w:after="0" w:line="240" w:lineRule="auto"/>
    </w:pPr>
    <w:rPr>
      <w:color w:val="6799C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C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C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C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CE4" w:themeColor="accent1"/>
        </w:tcBorders>
        <w:shd w:val="clear" w:color="auto" w:fill="FFFFFF" w:themeFill="background1"/>
      </w:tcPr>
    </w:tblStylePr>
    <w:tblStylePr w:type="band1Vert">
      <w:tblPr/>
      <w:tcPr>
        <w:shd w:val="clear" w:color="auto" w:fill="EFF4F9" w:themeFill="accent1" w:themeFillTint="33"/>
      </w:tcPr>
    </w:tblStylePr>
    <w:tblStylePr w:type="band1Horz">
      <w:tblPr/>
      <w:tcPr>
        <w:shd w:val="clear" w:color="auto" w:fill="EF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E3357"/>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CE3357"/>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6Colorful-Accent4">
    <w:name w:val="List Table 6 Colorful Accent 4"/>
    <w:basedOn w:val="TableNormal"/>
    <w:uiPriority w:val="51"/>
    <w:rsid w:val="00CE3357"/>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5Dark-Accent3">
    <w:name w:val="List Table 5 Dark Accent 3"/>
    <w:basedOn w:val="TableNormal"/>
    <w:uiPriority w:val="50"/>
    <w:rsid w:val="00CE3357"/>
    <w:pPr>
      <w:spacing w:after="0" w:line="240" w:lineRule="auto"/>
    </w:pPr>
    <w:rPr>
      <w:color w:val="FFFFFF" w:themeColor="background1"/>
    </w:rPr>
    <w:tblPr>
      <w:tblStyleRowBandSize w:val="1"/>
      <w:tblStyleColBandSize w:val="1"/>
      <w:tblBorders>
        <w:top w:val="single" w:sz="24" w:space="0" w:color="4F8AC1" w:themeColor="accent3"/>
        <w:left w:val="single" w:sz="24" w:space="0" w:color="4F8AC1" w:themeColor="accent3"/>
        <w:bottom w:val="single" w:sz="24" w:space="0" w:color="4F8AC1" w:themeColor="accent3"/>
        <w:right w:val="single" w:sz="24" w:space="0" w:color="4F8AC1" w:themeColor="accent3"/>
      </w:tblBorders>
    </w:tblPr>
    <w:tcPr>
      <w:shd w:val="clear" w:color="auto" w:fill="4F8A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E3357"/>
    <w:pPr>
      <w:spacing w:after="0" w:line="240" w:lineRule="auto"/>
    </w:pPr>
    <w:rPr>
      <w:color w:val="FFFFFF" w:themeColor="background1"/>
    </w:rPr>
    <w:tblPr>
      <w:tblStyleRowBandSize w:val="1"/>
      <w:tblStyleColBandSize w:val="1"/>
      <w:tblBorders>
        <w:top w:val="single" w:sz="24" w:space="0" w:color="8EB3D7" w:themeColor="accent2"/>
        <w:left w:val="single" w:sz="24" w:space="0" w:color="8EB3D7" w:themeColor="accent2"/>
        <w:bottom w:val="single" w:sz="24" w:space="0" w:color="8EB3D7" w:themeColor="accent2"/>
        <w:right w:val="single" w:sz="24" w:space="0" w:color="8EB3D7" w:themeColor="accent2"/>
      </w:tblBorders>
    </w:tblPr>
    <w:tcPr>
      <w:shd w:val="clear" w:color="auto" w:fill="8EB3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E3357"/>
    <w:pPr>
      <w:spacing w:after="0" w:line="240" w:lineRule="auto"/>
    </w:pPr>
    <w:rPr>
      <w:color w:val="FFFFFF" w:themeColor="background1"/>
    </w:rPr>
    <w:tblPr>
      <w:tblStyleRowBandSize w:val="1"/>
      <w:tblStyleColBandSize w:val="1"/>
      <w:tblBorders>
        <w:top w:val="single" w:sz="24" w:space="0" w:color="B3CCE4" w:themeColor="accent1"/>
        <w:left w:val="single" w:sz="24" w:space="0" w:color="B3CCE4" w:themeColor="accent1"/>
        <w:bottom w:val="single" w:sz="24" w:space="0" w:color="B3CCE4" w:themeColor="accent1"/>
        <w:right w:val="single" w:sz="24" w:space="0" w:color="B3CCE4" w:themeColor="accent1"/>
      </w:tblBorders>
    </w:tblPr>
    <w:tcPr>
      <w:shd w:val="clear" w:color="auto" w:fill="B3CC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
    <w:name w:val="Grid Table 2"/>
    <w:basedOn w:val="TableNormal"/>
    <w:uiPriority w:val="47"/>
    <w:rsid w:val="00CE3357"/>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1Light-Accent6">
    <w:name w:val="Grid Table 1 Light Accent 6"/>
    <w:basedOn w:val="TableNormal"/>
    <w:uiPriority w:val="46"/>
    <w:rsid w:val="00CE3357"/>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136D"/>
    <w:rPr>
      <w:rFonts w:ascii="Arial" w:eastAsiaTheme="majorEastAsia" w:hAnsi="Arial" w:cstheme="majorBidi"/>
      <w:b/>
      <w:sz w:val="24"/>
      <w:szCs w:val="24"/>
    </w:rPr>
  </w:style>
  <w:style w:type="paragraph" w:styleId="NoSpacing">
    <w:name w:val="No Spacing"/>
    <w:link w:val="NoSpacingChar"/>
    <w:uiPriority w:val="1"/>
    <w:qFormat/>
    <w:rsid w:val="0000662A"/>
    <w:pPr>
      <w:spacing w:after="0" w:line="240" w:lineRule="auto"/>
    </w:pPr>
    <w:rPr>
      <w:rFonts w:ascii="Arial" w:hAnsi="Arial"/>
    </w:rPr>
  </w:style>
  <w:style w:type="character" w:styleId="Emphasis">
    <w:name w:val="Emphasis"/>
    <w:basedOn w:val="DefaultParagraphFont"/>
    <w:uiPriority w:val="20"/>
    <w:qFormat/>
    <w:rsid w:val="0000662A"/>
    <w:rPr>
      <w:i/>
      <w:iCs/>
    </w:rPr>
  </w:style>
  <w:style w:type="character" w:styleId="SubtleEmphasis">
    <w:name w:val="Subtle Emphasis"/>
    <w:basedOn w:val="DefaultParagraphFont"/>
    <w:uiPriority w:val="19"/>
    <w:qFormat/>
    <w:rsid w:val="0000662A"/>
    <w:rPr>
      <w:i/>
      <w:iCs/>
      <w:color w:val="6F6F6F" w:themeColor="text1" w:themeTint="BF"/>
    </w:rPr>
  </w:style>
  <w:style w:type="paragraph" w:styleId="Subtitle">
    <w:name w:val="Subtitle"/>
    <w:basedOn w:val="Normal"/>
    <w:next w:val="Normal"/>
    <w:link w:val="SubtitleChar"/>
    <w:uiPriority w:val="11"/>
    <w:qFormat/>
    <w:rsid w:val="0000662A"/>
    <w:pPr>
      <w:numPr>
        <w:ilvl w:val="1"/>
      </w:numPr>
    </w:pPr>
    <w:rPr>
      <w:rFonts w:asciiTheme="minorHAnsi" w:eastAsiaTheme="minorEastAsia" w:hAnsiTheme="minorHAnsi"/>
      <w:color w:val="838383" w:themeColor="text1" w:themeTint="A5"/>
      <w:spacing w:val="15"/>
    </w:rPr>
  </w:style>
  <w:style w:type="character" w:customStyle="1" w:styleId="SubtitleChar">
    <w:name w:val="Subtitle Char"/>
    <w:basedOn w:val="DefaultParagraphFont"/>
    <w:link w:val="Subtitle"/>
    <w:uiPriority w:val="11"/>
    <w:rsid w:val="0000662A"/>
    <w:rPr>
      <w:rFonts w:eastAsiaTheme="minorEastAsia"/>
      <w:color w:val="838383" w:themeColor="text1" w:themeTint="A5"/>
      <w:spacing w:val="15"/>
    </w:rPr>
  </w:style>
  <w:style w:type="character" w:customStyle="1" w:styleId="Heading4Char">
    <w:name w:val="Heading 4 Char"/>
    <w:basedOn w:val="DefaultParagraphFont"/>
    <w:link w:val="Heading4"/>
    <w:uiPriority w:val="9"/>
    <w:rsid w:val="0000662A"/>
    <w:rPr>
      <w:rFonts w:asciiTheme="majorHAnsi" w:eastAsiaTheme="majorEastAsia" w:hAnsiTheme="majorHAnsi" w:cstheme="majorBidi"/>
      <w:i/>
      <w:iCs/>
      <w:color w:val="6799C9" w:themeColor="accent1" w:themeShade="BF"/>
    </w:rPr>
  </w:style>
  <w:style w:type="character" w:styleId="PageNumber">
    <w:name w:val="page number"/>
    <w:basedOn w:val="DefaultParagraphFont"/>
    <w:uiPriority w:val="99"/>
    <w:semiHidden/>
    <w:unhideWhenUsed/>
    <w:rsid w:val="00F05774"/>
  </w:style>
  <w:style w:type="paragraph" w:styleId="EndnoteText">
    <w:name w:val="endnote text"/>
    <w:basedOn w:val="Normal"/>
    <w:link w:val="EndnoteTextChar"/>
    <w:uiPriority w:val="99"/>
    <w:semiHidden/>
    <w:unhideWhenUsed/>
    <w:rsid w:val="00B80D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D38"/>
    <w:rPr>
      <w:rFonts w:ascii="Arial" w:hAnsi="Arial"/>
      <w:sz w:val="20"/>
      <w:szCs w:val="20"/>
    </w:rPr>
  </w:style>
  <w:style w:type="character" w:styleId="EndnoteReference">
    <w:name w:val="endnote reference"/>
    <w:basedOn w:val="DefaultParagraphFont"/>
    <w:uiPriority w:val="99"/>
    <w:semiHidden/>
    <w:unhideWhenUsed/>
    <w:rsid w:val="00B80D38"/>
    <w:rPr>
      <w:vertAlign w:val="superscript"/>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2223F6"/>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2223F6"/>
    <w:rPr>
      <w:rFonts w:ascii="Arial" w:hAnsi="Arial"/>
      <w:sz w:val="20"/>
      <w:szCs w:val="20"/>
    </w:rPr>
  </w:style>
  <w:style w:type="character" w:styleId="FootnoteReference">
    <w:name w:val="footnote reference"/>
    <w:aliases w:val="ftref"/>
    <w:basedOn w:val="DefaultParagraphFont"/>
    <w:unhideWhenUsed/>
    <w:rsid w:val="002223F6"/>
    <w:rPr>
      <w:vertAlign w:val="superscript"/>
    </w:rPr>
  </w:style>
  <w:style w:type="character" w:styleId="CommentReference">
    <w:name w:val="annotation reference"/>
    <w:basedOn w:val="DefaultParagraphFont"/>
    <w:uiPriority w:val="99"/>
    <w:unhideWhenUsed/>
    <w:rsid w:val="004F3CF2"/>
    <w:rPr>
      <w:sz w:val="16"/>
      <w:szCs w:val="16"/>
    </w:rPr>
  </w:style>
  <w:style w:type="paragraph" w:styleId="CommentText">
    <w:name w:val="annotation text"/>
    <w:basedOn w:val="Normal"/>
    <w:link w:val="CommentTextChar"/>
    <w:uiPriority w:val="99"/>
    <w:unhideWhenUsed/>
    <w:rsid w:val="004F3CF2"/>
    <w:pPr>
      <w:spacing w:line="240" w:lineRule="auto"/>
    </w:pPr>
    <w:rPr>
      <w:sz w:val="20"/>
      <w:szCs w:val="20"/>
    </w:rPr>
  </w:style>
  <w:style w:type="character" w:customStyle="1" w:styleId="CommentTextChar">
    <w:name w:val="Comment Text Char"/>
    <w:basedOn w:val="DefaultParagraphFont"/>
    <w:link w:val="CommentText"/>
    <w:uiPriority w:val="99"/>
    <w:rsid w:val="004F3C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CF2"/>
    <w:rPr>
      <w:b/>
      <w:bCs/>
    </w:rPr>
  </w:style>
  <w:style w:type="character" w:customStyle="1" w:styleId="CommentSubjectChar">
    <w:name w:val="Comment Subject Char"/>
    <w:basedOn w:val="CommentTextChar"/>
    <w:link w:val="CommentSubject"/>
    <w:uiPriority w:val="99"/>
    <w:semiHidden/>
    <w:rsid w:val="004F3CF2"/>
    <w:rPr>
      <w:rFonts w:ascii="Arial" w:hAnsi="Arial"/>
      <w:b/>
      <w:bCs/>
      <w:sz w:val="20"/>
      <w:szCs w:val="20"/>
    </w:rPr>
  </w:style>
  <w:style w:type="paragraph" w:styleId="BalloonText">
    <w:name w:val="Balloon Text"/>
    <w:basedOn w:val="Normal"/>
    <w:link w:val="BalloonTextChar"/>
    <w:uiPriority w:val="99"/>
    <w:semiHidden/>
    <w:unhideWhenUsed/>
    <w:rsid w:val="004F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F2"/>
    <w:rPr>
      <w:rFonts w:ascii="Segoe UI" w:hAnsi="Segoe UI" w:cs="Segoe UI"/>
      <w:sz w:val="18"/>
      <w:szCs w:val="18"/>
    </w:rPr>
  </w:style>
  <w:style w:type="table" w:customStyle="1" w:styleId="TableGrid3">
    <w:name w:val="Table Grid3"/>
    <w:basedOn w:val="TableNormal"/>
    <w:next w:val="TableGrid"/>
    <w:uiPriority w:val="39"/>
    <w:rsid w:val="00C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88C"/>
    <w:pPr>
      <w:spacing w:before="100" w:beforeAutospacing="1" w:after="100" w:afterAutospacing="1" w:line="240" w:lineRule="auto"/>
    </w:pPr>
    <w:rPr>
      <w:rFonts w:ascii="Calibri" w:hAnsi="Calibri" w:cs="Calibri"/>
    </w:rPr>
  </w:style>
  <w:style w:type="table" w:customStyle="1" w:styleId="GlobalFund">
    <w:name w:val="Global Fund"/>
    <w:basedOn w:val="TableNormal"/>
    <w:uiPriority w:val="99"/>
    <w:rsid w:val="00F919B5"/>
    <w:pPr>
      <w:spacing w:after="0" w:line="240" w:lineRule="auto"/>
    </w:pPr>
    <w:rPr>
      <w:rFonts w:ascii="Arial" w:hAnsi="Arial"/>
      <w:color w:val="828282" w:themeColor="text1" w:themeTint="A6"/>
      <w:lang w:val="en-GB"/>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NormalNoSpace">
    <w:name w:val="NormalNoSpace"/>
    <w:basedOn w:val="Normal"/>
    <w:next w:val="Normal"/>
    <w:uiPriority w:val="5"/>
    <w:qFormat/>
    <w:rsid w:val="00F919B5"/>
    <w:pPr>
      <w:spacing w:after="0" w:line="240" w:lineRule="atLeast"/>
    </w:pPr>
  </w:style>
  <w:style w:type="paragraph" w:customStyle="1" w:styleId="CoverPageTitle">
    <w:name w:val="Cover Page Title"/>
    <w:basedOn w:val="Normal"/>
    <w:uiPriority w:val="53"/>
    <w:qFormat/>
    <w:rsid w:val="00F919B5"/>
    <w:pPr>
      <w:spacing w:before="200" w:after="200" w:line="240" w:lineRule="atLeast"/>
      <w:contextualSpacing/>
      <w:jc w:val="center"/>
    </w:pPr>
    <w:rPr>
      <w:bCs/>
      <w:color w:val="003F72" w:themeColor="background2"/>
      <w:kern w:val="40"/>
      <w:sz w:val="80"/>
      <w:szCs w:val="80"/>
    </w:rPr>
  </w:style>
  <w:style w:type="character" w:customStyle="1" w:styleId="normaltextrun">
    <w:name w:val="normaltextrun"/>
    <w:basedOn w:val="DefaultParagraphFont"/>
    <w:rsid w:val="003F1564"/>
  </w:style>
  <w:style w:type="paragraph" w:customStyle="1" w:styleId="paragraph">
    <w:name w:val="paragraph"/>
    <w:basedOn w:val="Normal"/>
    <w:rsid w:val="003F1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F1564"/>
  </w:style>
  <w:style w:type="character" w:customStyle="1" w:styleId="contextualspellingandgrammarerror">
    <w:name w:val="contextualspellingandgrammarerror"/>
    <w:basedOn w:val="DefaultParagraphFont"/>
    <w:rsid w:val="003F1564"/>
  </w:style>
  <w:style w:type="character" w:customStyle="1" w:styleId="spellingerror">
    <w:name w:val="spellingerror"/>
    <w:basedOn w:val="DefaultParagraphFont"/>
    <w:rsid w:val="00AB4077"/>
  </w:style>
  <w:style w:type="character" w:customStyle="1" w:styleId="advancedproofingissue">
    <w:name w:val="advancedproofingissue"/>
    <w:basedOn w:val="DefaultParagraphFont"/>
    <w:rsid w:val="00AB4077"/>
  </w:style>
  <w:style w:type="character" w:customStyle="1" w:styleId="scxw265281772">
    <w:name w:val="scxw265281772"/>
    <w:basedOn w:val="DefaultParagraphFont"/>
    <w:rsid w:val="00CA2AEE"/>
  </w:style>
  <w:style w:type="character" w:customStyle="1" w:styleId="scxw208188950">
    <w:name w:val="scxw208188950"/>
    <w:basedOn w:val="DefaultParagraphFont"/>
    <w:rsid w:val="00D622F1"/>
  </w:style>
  <w:style w:type="paragraph" w:styleId="Revision">
    <w:name w:val="Revision"/>
    <w:hidden/>
    <w:uiPriority w:val="99"/>
    <w:semiHidden/>
    <w:rsid w:val="002B486F"/>
    <w:pPr>
      <w:spacing w:after="0" w:line="240" w:lineRule="auto"/>
    </w:pPr>
    <w:rPr>
      <w:rFonts w:ascii="Arial" w:hAnsi="Arial"/>
    </w:rPr>
  </w:style>
  <w:style w:type="paragraph" w:customStyle="1" w:styleId="HeaderHidden">
    <w:name w:val="HeaderHidden"/>
    <w:basedOn w:val="Header"/>
    <w:uiPriority w:val="5"/>
    <w:qFormat/>
    <w:rsid w:val="00BC25CE"/>
    <w:pPr>
      <w:tabs>
        <w:tab w:val="clear" w:pos="4680"/>
        <w:tab w:val="clear" w:pos="9360"/>
        <w:tab w:val="center" w:pos="4513"/>
        <w:tab w:val="right" w:pos="9026"/>
      </w:tabs>
      <w:spacing w:after="220"/>
    </w:pPr>
    <w:rPr>
      <w:color w:val="E6EEF6" w:themeColor="text2"/>
    </w:rPr>
  </w:style>
  <w:style w:type="character" w:styleId="FollowedHyperlink">
    <w:name w:val="FollowedHyperlink"/>
    <w:basedOn w:val="DefaultParagraphFont"/>
    <w:uiPriority w:val="99"/>
    <w:semiHidden/>
    <w:unhideWhenUsed/>
    <w:rsid w:val="00B57191"/>
    <w:rPr>
      <w:color w:val="954F72" w:themeColor="followedHyperlink"/>
      <w:u w:val="single"/>
    </w:rPr>
  </w:style>
  <w:style w:type="character" w:customStyle="1" w:styleId="NoSpacingChar">
    <w:name w:val="No Spacing Char"/>
    <w:basedOn w:val="DefaultParagraphFont"/>
    <w:link w:val="NoSpacing"/>
    <w:uiPriority w:val="1"/>
    <w:rsid w:val="000F7C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110">
      <w:bodyDiv w:val="1"/>
      <w:marLeft w:val="0"/>
      <w:marRight w:val="0"/>
      <w:marTop w:val="0"/>
      <w:marBottom w:val="0"/>
      <w:divBdr>
        <w:top w:val="none" w:sz="0" w:space="0" w:color="auto"/>
        <w:left w:val="none" w:sz="0" w:space="0" w:color="auto"/>
        <w:bottom w:val="none" w:sz="0" w:space="0" w:color="auto"/>
        <w:right w:val="none" w:sz="0" w:space="0" w:color="auto"/>
      </w:divBdr>
      <w:divsChild>
        <w:div w:id="687373080">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sChild>
            <w:div w:id="804813941">
              <w:marLeft w:val="-75"/>
              <w:marRight w:val="0"/>
              <w:marTop w:val="30"/>
              <w:marBottom w:val="30"/>
              <w:divBdr>
                <w:top w:val="none" w:sz="0" w:space="0" w:color="auto"/>
                <w:left w:val="none" w:sz="0" w:space="0" w:color="auto"/>
                <w:bottom w:val="none" w:sz="0" w:space="0" w:color="auto"/>
                <w:right w:val="none" w:sz="0" w:space="0" w:color="auto"/>
              </w:divBdr>
              <w:divsChild>
                <w:div w:id="41640879">
                  <w:marLeft w:val="0"/>
                  <w:marRight w:val="0"/>
                  <w:marTop w:val="0"/>
                  <w:marBottom w:val="0"/>
                  <w:divBdr>
                    <w:top w:val="none" w:sz="0" w:space="0" w:color="auto"/>
                    <w:left w:val="none" w:sz="0" w:space="0" w:color="auto"/>
                    <w:bottom w:val="none" w:sz="0" w:space="0" w:color="auto"/>
                    <w:right w:val="none" w:sz="0" w:space="0" w:color="auto"/>
                  </w:divBdr>
                  <w:divsChild>
                    <w:div w:id="1267537988">
                      <w:marLeft w:val="0"/>
                      <w:marRight w:val="0"/>
                      <w:marTop w:val="0"/>
                      <w:marBottom w:val="0"/>
                      <w:divBdr>
                        <w:top w:val="none" w:sz="0" w:space="0" w:color="auto"/>
                        <w:left w:val="none" w:sz="0" w:space="0" w:color="auto"/>
                        <w:bottom w:val="none" w:sz="0" w:space="0" w:color="auto"/>
                        <w:right w:val="none" w:sz="0" w:space="0" w:color="auto"/>
                      </w:divBdr>
                    </w:div>
                  </w:divsChild>
                </w:div>
                <w:div w:id="49496540">
                  <w:marLeft w:val="0"/>
                  <w:marRight w:val="0"/>
                  <w:marTop w:val="0"/>
                  <w:marBottom w:val="0"/>
                  <w:divBdr>
                    <w:top w:val="none" w:sz="0" w:space="0" w:color="auto"/>
                    <w:left w:val="none" w:sz="0" w:space="0" w:color="auto"/>
                    <w:bottom w:val="none" w:sz="0" w:space="0" w:color="auto"/>
                    <w:right w:val="none" w:sz="0" w:space="0" w:color="auto"/>
                  </w:divBdr>
                  <w:divsChild>
                    <w:div w:id="1170293371">
                      <w:marLeft w:val="0"/>
                      <w:marRight w:val="0"/>
                      <w:marTop w:val="0"/>
                      <w:marBottom w:val="0"/>
                      <w:divBdr>
                        <w:top w:val="none" w:sz="0" w:space="0" w:color="auto"/>
                        <w:left w:val="none" w:sz="0" w:space="0" w:color="auto"/>
                        <w:bottom w:val="none" w:sz="0" w:space="0" w:color="auto"/>
                        <w:right w:val="none" w:sz="0" w:space="0" w:color="auto"/>
                      </w:divBdr>
                    </w:div>
                  </w:divsChild>
                </w:div>
                <w:div w:id="68961816">
                  <w:marLeft w:val="0"/>
                  <w:marRight w:val="0"/>
                  <w:marTop w:val="0"/>
                  <w:marBottom w:val="0"/>
                  <w:divBdr>
                    <w:top w:val="none" w:sz="0" w:space="0" w:color="auto"/>
                    <w:left w:val="none" w:sz="0" w:space="0" w:color="auto"/>
                    <w:bottom w:val="none" w:sz="0" w:space="0" w:color="auto"/>
                    <w:right w:val="none" w:sz="0" w:space="0" w:color="auto"/>
                  </w:divBdr>
                  <w:divsChild>
                    <w:div w:id="438527860">
                      <w:marLeft w:val="0"/>
                      <w:marRight w:val="0"/>
                      <w:marTop w:val="0"/>
                      <w:marBottom w:val="0"/>
                      <w:divBdr>
                        <w:top w:val="none" w:sz="0" w:space="0" w:color="auto"/>
                        <w:left w:val="none" w:sz="0" w:space="0" w:color="auto"/>
                        <w:bottom w:val="none" w:sz="0" w:space="0" w:color="auto"/>
                        <w:right w:val="none" w:sz="0" w:space="0" w:color="auto"/>
                      </w:divBdr>
                    </w:div>
                  </w:divsChild>
                </w:div>
                <w:div w:id="10384123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172577994">
                  <w:marLeft w:val="0"/>
                  <w:marRight w:val="0"/>
                  <w:marTop w:val="0"/>
                  <w:marBottom w:val="0"/>
                  <w:divBdr>
                    <w:top w:val="none" w:sz="0" w:space="0" w:color="auto"/>
                    <w:left w:val="none" w:sz="0" w:space="0" w:color="auto"/>
                    <w:bottom w:val="none" w:sz="0" w:space="0" w:color="auto"/>
                    <w:right w:val="none" w:sz="0" w:space="0" w:color="auto"/>
                  </w:divBdr>
                  <w:divsChild>
                    <w:div w:id="908075271">
                      <w:marLeft w:val="0"/>
                      <w:marRight w:val="0"/>
                      <w:marTop w:val="0"/>
                      <w:marBottom w:val="0"/>
                      <w:divBdr>
                        <w:top w:val="none" w:sz="0" w:space="0" w:color="auto"/>
                        <w:left w:val="none" w:sz="0" w:space="0" w:color="auto"/>
                        <w:bottom w:val="none" w:sz="0" w:space="0" w:color="auto"/>
                        <w:right w:val="none" w:sz="0" w:space="0" w:color="auto"/>
                      </w:divBdr>
                    </w:div>
                  </w:divsChild>
                </w:div>
                <w:div w:id="351540634">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
                  </w:divsChild>
                </w:div>
                <w:div w:id="444153051">
                  <w:marLeft w:val="0"/>
                  <w:marRight w:val="0"/>
                  <w:marTop w:val="0"/>
                  <w:marBottom w:val="0"/>
                  <w:divBdr>
                    <w:top w:val="none" w:sz="0" w:space="0" w:color="auto"/>
                    <w:left w:val="none" w:sz="0" w:space="0" w:color="auto"/>
                    <w:bottom w:val="none" w:sz="0" w:space="0" w:color="auto"/>
                    <w:right w:val="none" w:sz="0" w:space="0" w:color="auto"/>
                  </w:divBdr>
                  <w:divsChild>
                    <w:div w:id="2123302856">
                      <w:marLeft w:val="0"/>
                      <w:marRight w:val="0"/>
                      <w:marTop w:val="0"/>
                      <w:marBottom w:val="0"/>
                      <w:divBdr>
                        <w:top w:val="none" w:sz="0" w:space="0" w:color="auto"/>
                        <w:left w:val="none" w:sz="0" w:space="0" w:color="auto"/>
                        <w:bottom w:val="none" w:sz="0" w:space="0" w:color="auto"/>
                        <w:right w:val="none" w:sz="0" w:space="0" w:color="auto"/>
                      </w:divBdr>
                    </w:div>
                  </w:divsChild>
                </w:div>
                <w:div w:id="485517816">
                  <w:marLeft w:val="0"/>
                  <w:marRight w:val="0"/>
                  <w:marTop w:val="0"/>
                  <w:marBottom w:val="0"/>
                  <w:divBdr>
                    <w:top w:val="none" w:sz="0" w:space="0" w:color="auto"/>
                    <w:left w:val="none" w:sz="0" w:space="0" w:color="auto"/>
                    <w:bottom w:val="none" w:sz="0" w:space="0" w:color="auto"/>
                    <w:right w:val="none" w:sz="0" w:space="0" w:color="auto"/>
                  </w:divBdr>
                  <w:divsChild>
                    <w:div w:id="663817755">
                      <w:marLeft w:val="0"/>
                      <w:marRight w:val="0"/>
                      <w:marTop w:val="0"/>
                      <w:marBottom w:val="0"/>
                      <w:divBdr>
                        <w:top w:val="none" w:sz="0" w:space="0" w:color="auto"/>
                        <w:left w:val="none" w:sz="0" w:space="0" w:color="auto"/>
                        <w:bottom w:val="none" w:sz="0" w:space="0" w:color="auto"/>
                        <w:right w:val="none" w:sz="0" w:space="0" w:color="auto"/>
                      </w:divBdr>
                    </w:div>
                  </w:divsChild>
                </w:div>
                <w:div w:id="517548029">
                  <w:marLeft w:val="0"/>
                  <w:marRight w:val="0"/>
                  <w:marTop w:val="0"/>
                  <w:marBottom w:val="0"/>
                  <w:divBdr>
                    <w:top w:val="none" w:sz="0" w:space="0" w:color="auto"/>
                    <w:left w:val="none" w:sz="0" w:space="0" w:color="auto"/>
                    <w:bottom w:val="none" w:sz="0" w:space="0" w:color="auto"/>
                    <w:right w:val="none" w:sz="0" w:space="0" w:color="auto"/>
                  </w:divBdr>
                  <w:divsChild>
                    <w:div w:id="847452356">
                      <w:marLeft w:val="0"/>
                      <w:marRight w:val="0"/>
                      <w:marTop w:val="0"/>
                      <w:marBottom w:val="0"/>
                      <w:divBdr>
                        <w:top w:val="none" w:sz="0" w:space="0" w:color="auto"/>
                        <w:left w:val="none" w:sz="0" w:space="0" w:color="auto"/>
                        <w:bottom w:val="none" w:sz="0" w:space="0" w:color="auto"/>
                        <w:right w:val="none" w:sz="0" w:space="0" w:color="auto"/>
                      </w:divBdr>
                    </w:div>
                  </w:divsChild>
                </w:div>
                <w:div w:id="523061972">
                  <w:marLeft w:val="0"/>
                  <w:marRight w:val="0"/>
                  <w:marTop w:val="0"/>
                  <w:marBottom w:val="0"/>
                  <w:divBdr>
                    <w:top w:val="none" w:sz="0" w:space="0" w:color="auto"/>
                    <w:left w:val="none" w:sz="0" w:space="0" w:color="auto"/>
                    <w:bottom w:val="none" w:sz="0" w:space="0" w:color="auto"/>
                    <w:right w:val="none" w:sz="0" w:space="0" w:color="auto"/>
                  </w:divBdr>
                  <w:divsChild>
                    <w:div w:id="859469086">
                      <w:marLeft w:val="0"/>
                      <w:marRight w:val="0"/>
                      <w:marTop w:val="0"/>
                      <w:marBottom w:val="0"/>
                      <w:divBdr>
                        <w:top w:val="none" w:sz="0" w:space="0" w:color="auto"/>
                        <w:left w:val="none" w:sz="0" w:space="0" w:color="auto"/>
                        <w:bottom w:val="none" w:sz="0" w:space="0" w:color="auto"/>
                        <w:right w:val="none" w:sz="0" w:space="0" w:color="auto"/>
                      </w:divBdr>
                    </w:div>
                  </w:divsChild>
                </w:div>
                <w:div w:id="679240095">
                  <w:marLeft w:val="0"/>
                  <w:marRight w:val="0"/>
                  <w:marTop w:val="0"/>
                  <w:marBottom w:val="0"/>
                  <w:divBdr>
                    <w:top w:val="none" w:sz="0" w:space="0" w:color="auto"/>
                    <w:left w:val="none" w:sz="0" w:space="0" w:color="auto"/>
                    <w:bottom w:val="none" w:sz="0" w:space="0" w:color="auto"/>
                    <w:right w:val="none" w:sz="0" w:space="0" w:color="auto"/>
                  </w:divBdr>
                  <w:divsChild>
                    <w:div w:id="817109468">
                      <w:marLeft w:val="0"/>
                      <w:marRight w:val="0"/>
                      <w:marTop w:val="0"/>
                      <w:marBottom w:val="0"/>
                      <w:divBdr>
                        <w:top w:val="none" w:sz="0" w:space="0" w:color="auto"/>
                        <w:left w:val="none" w:sz="0" w:space="0" w:color="auto"/>
                        <w:bottom w:val="none" w:sz="0" w:space="0" w:color="auto"/>
                        <w:right w:val="none" w:sz="0" w:space="0" w:color="auto"/>
                      </w:divBdr>
                    </w:div>
                  </w:divsChild>
                </w:div>
                <w:div w:id="761730833">
                  <w:marLeft w:val="0"/>
                  <w:marRight w:val="0"/>
                  <w:marTop w:val="0"/>
                  <w:marBottom w:val="0"/>
                  <w:divBdr>
                    <w:top w:val="none" w:sz="0" w:space="0" w:color="auto"/>
                    <w:left w:val="none" w:sz="0" w:space="0" w:color="auto"/>
                    <w:bottom w:val="none" w:sz="0" w:space="0" w:color="auto"/>
                    <w:right w:val="none" w:sz="0" w:space="0" w:color="auto"/>
                  </w:divBdr>
                  <w:divsChild>
                    <w:div w:id="1937787820">
                      <w:marLeft w:val="0"/>
                      <w:marRight w:val="0"/>
                      <w:marTop w:val="0"/>
                      <w:marBottom w:val="0"/>
                      <w:divBdr>
                        <w:top w:val="none" w:sz="0" w:space="0" w:color="auto"/>
                        <w:left w:val="none" w:sz="0" w:space="0" w:color="auto"/>
                        <w:bottom w:val="none" w:sz="0" w:space="0" w:color="auto"/>
                        <w:right w:val="none" w:sz="0" w:space="0" w:color="auto"/>
                      </w:divBdr>
                    </w:div>
                  </w:divsChild>
                </w:div>
                <w:div w:id="800418720">
                  <w:marLeft w:val="0"/>
                  <w:marRight w:val="0"/>
                  <w:marTop w:val="0"/>
                  <w:marBottom w:val="0"/>
                  <w:divBdr>
                    <w:top w:val="none" w:sz="0" w:space="0" w:color="auto"/>
                    <w:left w:val="none" w:sz="0" w:space="0" w:color="auto"/>
                    <w:bottom w:val="none" w:sz="0" w:space="0" w:color="auto"/>
                    <w:right w:val="none" w:sz="0" w:space="0" w:color="auto"/>
                  </w:divBdr>
                  <w:divsChild>
                    <w:div w:id="1935698602">
                      <w:marLeft w:val="0"/>
                      <w:marRight w:val="0"/>
                      <w:marTop w:val="0"/>
                      <w:marBottom w:val="0"/>
                      <w:divBdr>
                        <w:top w:val="none" w:sz="0" w:space="0" w:color="auto"/>
                        <w:left w:val="none" w:sz="0" w:space="0" w:color="auto"/>
                        <w:bottom w:val="none" w:sz="0" w:space="0" w:color="auto"/>
                        <w:right w:val="none" w:sz="0" w:space="0" w:color="auto"/>
                      </w:divBdr>
                    </w:div>
                  </w:divsChild>
                </w:div>
                <w:div w:id="941763811">
                  <w:marLeft w:val="0"/>
                  <w:marRight w:val="0"/>
                  <w:marTop w:val="0"/>
                  <w:marBottom w:val="0"/>
                  <w:divBdr>
                    <w:top w:val="none" w:sz="0" w:space="0" w:color="auto"/>
                    <w:left w:val="none" w:sz="0" w:space="0" w:color="auto"/>
                    <w:bottom w:val="none" w:sz="0" w:space="0" w:color="auto"/>
                    <w:right w:val="none" w:sz="0" w:space="0" w:color="auto"/>
                  </w:divBdr>
                  <w:divsChild>
                    <w:div w:id="2040013014">
                      <w:marLeft w:val="0"/>
                      <w:marRight w:val="0"/>
                      <w:marTop w:val="0"/>
                      <w:marBottom w:val="0"/>
                      <w:divBdr>
                        <w:top w:val="none" w:sz="0" w:space="0" w:color="auto"/>
                        <w:left w:val="none" w:sz="0" w:space="0" w:color="auto"/>
                        <w:bottom w:val="none" w:sz="0" w:space="0" w:color="auto"/>
                        <w:right w:val="none" w:sz="0" w:space="0" w:color="auto"/>
                      </w:divBdr>
                    </w:div>
                  </w:divsChild>
                </w:div>
                <w:div w:id="1042292708">
                  <w:marLeft w:val="0"/>
                  <w:marRight w:val="0"/>
                  <w:marTop w:val="0"/>
                  <w:marBottom w:val="0"/>
                  <w:divBdr>
                    <w:top w:val="none" w:sz="0" w:space="0" w:color="auto"/>
                    <w:left w:val="none" w:sz="0" w:space="0" w:color="auto"/>
                    <w:bottom w:val="none" w:sz="0" w:space="0" w:color="auto"/>
                    <w:right w:val="none" w:sz="0" w:space="0" w:color="auto"/>
                  </w:divBdr>
                  <w:divsChild>
                    <w:div w:id="692996940">
                      <w:marLeft w:val="0"/>
                      <w:marRight w:val="0"/>
                      <w:marTop w:val="0"/>
                      <w:marBottom w:val="0"/>
                      <w:divBdr>
                        <w:top w:val="none" w:sz="0" w:space="0" w:color="auto"/>
                        <w:left w:val="none" w:sz="0" w:space="0" w:color="auto"/>
                        <w:bottom w:val="none" w:sz="0" w:space="0" w:color="auto"/>
                        <w:right w:val="none" w:sz="0" w:space="0" w:color="auto"/>
                      </w:divBdr>
                    </w:div>
                  </w:divsChild>
                </w:div>
                <w:div w:id="1124038138">
                  <w:marLeft w:val="0"/>
                  <w:marRight w:val="0"/>
                  <w:marTop w:val="0"/>
                  <w:marBottom w:val="0"/>
                  <w:divBdr>
                    <w:top w:val="none" w:sz="0" w:space="0" w:color="auto"/>
                    <w:left w:val="none" w:sz="0" w:space="0" w:color="auto"/>
                    <w:bottom w:val="none" w:sz="0" w:space="0" w:color="auto"/>
                    <w:right w:val="none" w:sz="0" w:space="0" w:color="auto"/>
                  </w:divBdr>
                  <w:divsChild>
                    <w:div w:id="1935236641">
                      <w:marLeft w:val="0"/>
                      <w:marRight w:val="0"/>
                      <w:marTop w:val="0"/>
                      <w:marBottom w:val="0"/>
                      <w:divBdr>
                        <w:top w:val="none" w:sz="0" w:space="0" w:color="auto"/>
                        <w:left w:val="none" w:sz="0" w:space="0" w:color="auto"/>
                        <w:bottom w:val="none" w:sz="0" w:space="0" w:color="auto"/>
                        <w:right w:val="none" w:sz="0" w:space="0" w:color="auto"/>
                      </w:divBdr>
                    </w:div>
                  </w:divsChild>
                </w:div>
                <w:div w:id="1148746762">
                  <w:marLeft w:val="0"/>
                  <w:marRight w:val="0"/>
                  <w:marTop w:val="0"/>
                  <w:marBottom w:val="0"/>
                  <w:divBdr>
                    <w:top w:val="none" w:sz="0" w:space="0" w:color="auto"/>
                    <w:left w:val="none" w:sz="0" w:space="0" w:color="auto"/>
                    <w:bottom w:val="none" w:sz="0" w:space="0" w:color="auto"/>
                    <w:right w:val="none" w:sz="0" w:space="0" w:color="auto"/>
                  </w:divBdr>
                  <w:divsChild>
                    <w:div w:id="1137720976">
                      <w:marLeft w:val="0"/>
                      <w:marRight w:val="0"/>
                      <w:marTop w:val="0"/>
                      <w:marBottom w:val="0"/>
                      <w:divBdr>
                        <w:top w:val="none" w:sz="0" w:space="0" w:color="auto"/>
                        <w:left w:val="none" w:sz="0" w:space="0" w:color="auto"/>
                        <w:bottom w:val="none" w:sz="0" w:space="0" w:color="auto"/>
                        <w:right w:val="none" w:sz="0" w:space="0" w:color="auto"/>
                      </w:divBdr>
                    </w:div>
                  </w:divsChild>
                </w:div>
                <w:div w:id="1157114093">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
                  </w:divsChild>
                </w:div>
                <w:div w:id="1164204402">
                  <w:marLeft w:val="0"/>
                  <w:marRight w:val="0"/>
                  <w:marTop w:val="0"/>
                  <w:marBottom w:val="0"/>
                  <w:divBdr>
                    <w:top w:val="none" w:sz="0" w:space="0" w:color="auto"/>
                    <w:left w:val="none" w:sz="0" w:space="0" w:color="auto"/>
                    <w:bottom w:val="none" w:sz="0" w:space="0" w:color="auto"/>
                    <w:right w:val="none" w:sz="0" w:space="0" w:color="auto"/>
                  </w:divBdr>
                  <w:divsChild>
                    <w:div w:id="1928222911">
                      <w:marLeft w:val="0"/>
                      <w:marRight w:val="0"/>
                      <w:marTop w:val="0"/>
                      <w:marBottom w:val="0"/>
                      <w:divBdr>
                        <w:top w:val="none" w:sz="0" w:space="0" w:color="auto"/>
                        <w:left w:val="none" w:sz="0" w:space="0" w:color="auto"/>
                        <w:bottom w:val="none" w:sz="0" w:space="0" w:color="auto"/>
                        <w:right w:val="none" w:sz="0" w:space="0" w:color="auto"/>
                      </w:divBdr>
                    </w:div>
                  </w:divsChild>
                </w:div>
                <w:div w:id="1233464973">
                  <w:marLeft w:val="0"/>
                  <w:marRight w:val="0"/>
                  <w:marTop w:val="0"/>
                  <w:marBottom w:val="0"/>
                  <w:divBdr>
                    <w:top w:val="none" w:sz="0" w:space="0" w:color="auto"/>
                    <w:left w:val="none" w:sz="0" w:space="0" w:color="auto"/>
                    <w:bottom w:val="none" w:sz="0" w:space="0" w:color="auto"/>
                    <w:right w:val="none" w:sz="0" w:space="0" w:color="auto"/>
                  </w:divBdr>
                  <w:divsChild>
                    <w:div w:id="595092702">
                      <w:marLeft w:val="0"/>
                      <w:marRight w:val="0"/>
                      <w:marTop w:val="0"/>
                      <w:marBottom w:val="0"/>
                      <w:divBdr>
                        <w:top w:val="none" w:sz="0" w:space="0" w:color="auto"/>
                        <w:left w:val="none" w:sz="0" w:space="0" w:color="auto"/>
                        <w:bottom w:val="none" w:sz="0" w:space="0" w:color="auto"/>
                        <w:right w:val="none" w:sz="0" w:space="0" w:color="auto"/>
                      </w:divBdr>
                    </w:div>
                  </w:divsChild>
                </w:div>
                <w:div w:id="1238635925">
                  <w:marLeft w:val="0"/>
                  <w:marRight w:val="0"/>
                  <w:marTop w:val="0"/>
                  <w:marBottom w:val="0"/>
                  <w:divBdr>
                    <w:top w:val="none" w:sz="0" w:space="0" w:color="auto"/>
                    <w:left w:val="none" w:sz="0" w:space="0" w:color="auto"/>
                    <w:bottom w:val="none" w:sz="0" w:space="0" w:color="auto"/>
                    <w:right w:val="none" w:sz="0" w:space="0" w:color="auto"/>
                  </w:divBdr>
                  <w:divsChild>
                    <w:div w:id="599875863">
                      <w:marLeft w:val="0"/>
                      <w:marRight w:val="0"/>
                      <w:marTop w:val="0"/>
                      <w:marBottom w:val="0"/>
                      <w:divBdr>
                        <w:top w:val="none" w:sz="0" w:space="0" w:color="auto"/>
                        <w:left w:val="none" w:sz="0" w:space="0" w:color="auto"/>
                        <w:bottom w:val="none" w:sz="0" w:space="0" w:color="auto"/>
                        <w:right w:val="none" w:sz="0" w:space="0" w:color="auto"/>
                      </w:divBdr>
                    </w:div>
                  </w:divsChild>
                </w:div>
                <w:div w:id="1280605919">
                  <w:marLeft w:val="0"/>
                  <w:marRight w:val="0"/>
                  <w:marTop w:val="0"/>
                  <w:marBottom w:val="0"/>
                  <w:divBdr>
                    <w:top w:val="none" w:sz="0" w:space="0" w:color="auto"/>
                    <w:left w:val="none" w:sz="0" w:space="0" w:color="auto"/>
                    <w:bottom w:val="none" w:sz="0" w:space="0" w:color="auto"/>
                    <w:right w:val="none" w:sz="0" w:space="0" w:color="auto"/>
                  </w:divBdr>
                  <w:divsChild>
                    <w:div w:id="11954632">
                      <w:marLeft w:val="0"/>
                      <w:marRight w:val="0"/>
                      <w:marTop w:val="0"/>
                      <w:marBottom w:val="0"/>
                      <w:divBdr>
                        <w:top w:val="none" w:sz="0" w:space="0" w:color="auto"/>
                        <w:left w:val="none" w:sz="0" w:space="0" w:color="auto"/>
                        <w:bottom w:val="none" w:sz="0" w:space="0" w:color="auto"/>
                        <w:right w:val="none" w:sz="0" w:space="0" w:color="auto"/>
                      </w:divBdr>
                    </w:div>
                  </w:divsChild>
                </w:div>
                <w:div w:id="1544948359">
                  <w:marLeft w:val="0"/>
                  <w:marRight w:val="0"/>
                  <w:marTop w:val="0"/>
                  <w:marBottom w:val="0"/>
                  <w:divBdr>
                    <w:top w:val="none" w:sz="0" w:space="0" w:color="auto"/>
                    <w:left w:val="none" w:sz="0" w:space="0" w:color="auto"/>
                    <w:bottom w:val="none" w:sz="0" w:space="0" w:color="auto"/>
                    <w:right w:val="none" w:sz="0" w:space="0" w:color="auto"/>
                  </w:divBdr>
                  <w:divsChild>
                    <w:div w:id="301694493">
                      <w:marLeft w:val="0"/>
                      <w:marRight w:val="0"/>
                      <w:marTop w:val="0"/>
                      <w:marBottom w:val="0"/>
                      <w:divBdr>
                        <w:top w:val="none" w:sz="0" w:space="0" w:color="auto"/>
                        <w:left w:val="none" w:sz="0" w:space="0" w:color="auto"/>
                        <w:bottom w:val="none" w:sz="0" w:space="0" w:color="auto"/>
                        <w:right w:val="none" w:sz="0" w:space="0" w:color="auto"/>
                      </w:divBdr>
                    </w:div>
                  </w:divsChild>
                </w:div>
                <w:div w:id="1563759099">
                  <w:marLeft w:val="0"/>
                  <w:marRight w:val="0"/>
                  <w:marTop w:val="0"/>
                  <w:marBottom w:val="0"/>
                  <w:divBdr>
                    <w:top w:val="none" w:sz="0" w:space="0" w:color="auto"/>
                    <w:left w:val="none" w:sz="0" w:space="0" w:color="auto"/>
                    <w:bottom w:val="none" w:sz="0" w:space="0" w:color="auto"/>
                    <w:right w:val="none" w:sz="0" w:space="0" w:color="auto"/>
                  </w:divBdr>
                  <w:divsChild>
                    <w:div w:id="1251354746">
                      <w:marLeft w:val="0"/>
                      <w:marRight w:val="0"/>
                      <w:marTop w:val="0"/>
                      <w:marBottom w:val="0"/>
                      <w:divBdr>
                        <w:top w:val="none" w:sz="0" w:space="0" w:color="auto"/>
                        <w:left w:val="none" w:sz="0" w:space="0" w:color="auto"/>
                        <w:bottom w:val="none" w:sz="0" w:space="0" w:color="auto"/>
                        <w:right w:val="none" w:sz="0" w:space="0" w:color="auto"/>
                      </w:divBdr>
                    </w:div>
                  </w:divsChild>
                </w:div>
                <w:div w:id="1762293416">
                  <w:marLeft w:val="0"/>
                  <w:marRight w:val="0"/>
                  <w:marTop w:val="0"/>
                  <w:marBottom w:val="0"/>
                  <w:divBdr>
                    <w:top w:val="none" w:sz="0" w:space="0" w:color="auto"/>
                    <w:left w:val="none" w:sz="0" w:space="0" w:color="auto"/>
                    <w:bottom w:val="none" w:sz="0" w:space="0" w:color="auto"/>
                    <w:right w:val="none" w:sz="0" w:space="0" w:color="auto"/>
                  </w:divBdr>
                  <w:divsChild>
                    <w:div w:id="333798105">
                      <w:marLeft w:val="0"/>
                      <w:marRight w:val="0"/>
                      <w:marTop w:val="0"/>
                      <w:marBottom w:val="0"/>
                      <w:divBdr>
                        <w:top w:val="none" w:sz="0" w:space="0" w:color="auto"/>
                        <w:left w:val="none" w:sz="0" w:space="0" w:color="auto"/>
                        <w:bottom w:val="none" w:sz="0" w:space="0" w:color="auto"/>
                        <w:right w:val="none" w:sz="0" w:space="0" w:color="auto"/>
                      </w:divBdr>
                    </w:div>
                  </w:divsChild>
                </w:div>
                <w:div w:id="1868175119">
                  <w:marLeft w:val="0"/>
                  <w:marRight w:val="0"/>
                  <w:marTop w:val="0"/>
                  <w:marBottom w:val="0"/>
                  <w:divBdr>
                    <w:top w:val="none" w:sz="0" w:space="0" w:color="auto"/>
                    <w:left w:val="none" w:sz="0" w:space="0" w:color="auto"/>
                    <w:bottom w:val="none" w:sz="0" w:space="0" w:color="auto"/>
                    <w:right w:val="none" w:sz="0" w:space="0" w:color="auto"/>
                  </w:divBdr>
                  <w:divsChild>
                    <w:div w:id="1252619889">
                      <w:marLeft w:val="0"/>
                      <w:marRight w:val="0"/>
                      <w:marTop w:val="0"/>
                      <w:marBottom w:val="0"/>
                      <w:divBdr>
                        <w:top w:val="none" w:sz="0" w:space="0" w:color="auto"/>
                        <w:left w:val="none" w:sz="0" w:space="0" w:color="auto"/>
                        <w:bottom w:val="none" w:sz="0" w:space="0" w:color="auto"/>
                        <w:right w:val="none" w:sz="0" w:space="0" w:color="auto"/>
                      </w:divBdr>
                    </w:div>
                  </w:divsChild>
                </w:div>
                <w:div w:id="1891261758">
                  <w:marLeft w:val="0"/>
                  <w:marRight w:val="0"/>
                  <w:marTop w:val="0"/>
                  <w:marBottom w:val="0"/>
                  <w:divBdr>
                    <w:top w:val="none" w:sz="0" w:space="0" w:color="auto"/>
                    <w:left w:val="none" w:sz="0" w:space="0" w:color="auto"/>
                    <w:bottom w:val="none" w:sz="0" w:space="0" w:color="auto"/>
                    <w:right w:val="none" w:sz="0" w:space="0" w:color="auto"/>
                  </w:divBdr>
                  <w:divsChild>
                    <w:div w:id="255288844">
                      <w:marLeft w:val="0"/>
                      <w:marRight w:val="0"/>
                      <w:marTop w:val="0"/>
                      <w:marBottom w:val="0"/>
                      <w:divBdr>
                        <w:top w:val="none" w:sz="0" w:space="0" w:color="auto"/>
                        <w:left w:val="none" w:sz="0" w:space="0" w:color="auto"/>
                        <w:bottom w:val="none" w:sz="0" w:space="0" w:color="auto"/>
                        <w:right w:val="none" w:sz="0" w:space="0" w:color="auto"/>
                      </w:divBdr>
                    </w:div>
                  </w:divsChild>
                </w:div>
                <w:div w:id="1898856649">
                  <w:marLeft w:val="0"/>
                  <w:marRight w:val="0"/>
                  <w:marTop w:val="0"/>
                  <w:marBottom w:val="0"/>
                  <w:divBdr>
                    <w:top w:val="none" w:sz="0" w:space="0" w:color="auto"/>
                    <w:left w:val="none" w:sz="0" w:space="0" w:color="auto"/>
                    <w:bottom w:val="none" w:sz="0" w:space="0" w:color="auto"/>
                    <w:right w:val="none" w:sz="0" w:space="0" w:color="auto"/>
                  </w:divBdr>
                  <w:divsChild>
                    <w:div w:id="1193885476">
                      <w:marLeft w:val="0"/>
                      <w:marRight w:val="0"/>
                      <w:marTop w:val="0"/>
                      <w:marBottom w:val="0"/>
                      <w:divBdr>
                        <w:top w:val="none" w:sz="0" w:space="0" w:color="auto"/>
                        <w:left w:val="none" w:sz="0" w:space="0" w:color="auto"/>
                        <w:bottom w:val="none" w:sz="0" w:space="0" w:color="auto"/>
                        <w:right w:val="none" w:sz="0" w:space="0" w:color="auto"/>
                      </w:divBdr>
                    </w:div>
                  </w:divsChild>
                </w:div>
                <w:div w:id="1908959383">
                  <w:marLeft w:val="0"/>
                  <w:marRight w:val="0"/>
                  <w:marTop w:val="0"/>
                  <w:marBottom w:val="0"/>
                  <w:divBdr>
                    <w:top w:val="none" w:sz="0" w:space="0" w:color="auto"/>
                    <w:left w:val="none" w:sz="0" w:space="0" w:color="auto"/>
                    <w:bottom w:val="none" w:sz="0" w:space="0" w:color="auto"/>
                    <w:right w:val="none" w:sz="0" w:space="0" w:color="auto"/>
                  </w:divBdr>
                  <w:divsChild>
                    <w:div w:id="2015378189">
                      <w:marLeft w:val="0"/>
                      <w:marRight w:val="0"/>
                      <w:marTop w:val="0"/>
                      <w:marBottom w:val="0"/>
                      <w:divBdr>
                        <w:top w:val="none" w:sz="0" w:space="0" w:color="auto"/>
                        <w:left w:val="none" w:sz="0" w:space="0" w:color="auto"/>
                        <w:bottom w:val="none" w:sz="0" w:space="0" w:color="auto"/>
                        <w:right w:val="none" w:sz="0" w:space="0" w:color="auto"/>
                      </w:divBdr>
                    </w:div>
                  </w:divsChild>
                </w:div>
                <w:div w:id="1969315772">
                  <w:marLeft w:val="0"/>
                  <w:marRight w:val="0"/>
                  <w:marTop w:val="0"/>
                  <w:marBottom w:val="0"/>
                  <w:divBdr>
                    <w:top w:val="none" w:sz="0" w:space="0" w:color="auto"/>
                    <w:left w:val="none" w:sz="0" w:space="0" w:color="auto"/>
                    <w:bottom w:val="none" w:sz="0" w:space="0" w:color="auto"/>
                    <w:right w:val="none" w:sz="0" w:space="0" w:color="auto"/>
                  </w:divBdr>
                  <w:divsChild>
                    <w:div w:id="369107530">
                      <w:marLeft w:val="0"/>
                      <w:marRight w:val="0"/>
                      <w:marTop w:val="0"/>
                      <w:marBottom w:val="0"/>
                      <w:divBdr>
                        <w:top w:val="none" w:sz="0" w:space="0" w:color="auto"/>
                        <w:left w:val="none" w:sz="0" w:space="0" w:color="auto"/>
                        <w:bottom w:val="none" w:sz="0" w:space="0" w:color="auto"/>
                        <w:right w:val="none" w:sz="0" w:space="0" w:color="auto"/>
                      </w:divBdr>
                    </w:div>
                  </w:divsChild>
                </w:div>
                <w:div w:id="2018384101">
                  <w:marLeft w:val="0"/>
                  <w:marRight w:val="0"/>
                  <w:marTop w:val="0"/>
                  <w:marBottom w:val="0"/>
                  <w:divBdr>
                    <w:top w:val="none" w:sz="0" w:space="0" w:color="auto"/>
                    <w:left w:val="none" w:sz="0" w:space="0" w:color="auto"/>
                    <w:bottom w:val="none" w:sz="0" w:space="0" w:color="auto"/>
                    <w:right w:val="none" w:sz="0" w:space="0" w:color="auto"/>
                  </w:divBdr>
                  <w:divsChild>
                    <w:div w:id="329064270">
                      <w:marLeft w:val="0"/>
                      <w:marRight w:val="0"/>
                      <w:marTop w:val="0"/>
                      <w:marBottom w:val="0"/>
                      <w:divBdr>
                        <w:top w:val="none" w:sz="0" w:space="0" w:color="auto"/>
                        <w:left w:val="none" w:sz="0" w:space="0" w:color="auto"/>
                        <w:bottom w:val="none" w:sz="0" w:space="0" w:color="auto"/>
                        <w:right w:val="none" w:sz="0" w:space="0" w:color="auto"/>
                      </w:divBdr>
                    </w:div>
                  </w:divsChild>
                </w:div>
                <w:div w:id="2089300720">
                  <w:marLeft w:val="0"/>
                  <w:marRight w:val="0"/>
                  <w:marTop w:val="0"/>
                  <w:marBottom w:val="0"/>
                  <w:divBdr>
                    <w:top w:val="none" w:sz="0" w:space="0" w:color="auto"/>
                    <w:left w:val="none" w:sz="0" w:space="0" w:color="auto"/>
                    <w:bottom w:val="none" w:sz="0" w:space="0" w:color="auto"/>
                    <w:right w:val="none" w:sz="0" w:space="0" w:color="auto"/>
                  </w:divBdr>
                  <w:divsChild>
                    <w:div w:id="978727906">
                      <w:marLeft w:val="0"/>
                      <w:marRight w:val="0"/>
                      <w:marTop w:val="0"/>
                      <w:marBottom w:val="0"/>
                      <w:divBdr>
                        <w:top w:val="none" w:sz="0" w:space="0" w:color="auto"/>
                        <w:left w:val="none" w:sz="0" w:space="0" w:color="auto"/>
                        <w:bottom w:val="none" w:sz="0" w:space="0" w:color="auto"/>
                        <w:right w:val="none" w:sz="0" w:space="0" w:color="auto"/>
                      </w:divBdr>
                    </w:div>
                  </w:divsChild>
                </w:div>
                <w:div w:id="2100833377">
                  <w:marLeft w:val="0"/>
                  <w:marRight w:val="0"/>
                  <w:marTop w:val="0"/>
                  <w:marBottom w:val="0"/>
                  <w:divBdr>
                    <w:top w:val="none" w:sz="0" w:space="0" w:color="auto"/>
                    <w:left w:val="none" w:sz="0" w:space="0" w:color="auto"/>
                    <w:bottom w:val="none" w:sz="0" w:space="0" w:color="auto"/>
                    <w:right w:val="none" w:sz="0" w:space="0" w:color="auto"/>
                  </w:divBdr>
                  <w:divsChild>
                    <w:div w:id="788399097">
                      <w:marLeft w:val="0"/>
                      <w:marRight w:val="0"/>
                      <w:marTop w:val="0"/>
                      <w:marBottom w:val="0"/>
                      <w:divBdr>
                        <w:top w:val="none" w:sz="0" w:space="0" w:color="auto"/>
                        <w:left w:val="none" w:sz="0" w:space="0" w:color="auto"/>
                        <w:bottom w:val="none" w:sz="0" w:space="0" w:color="auto"/>
                        <w:right w:val="none" w:sz="0" w:space="0" w:color="auto"/>
                      </w:divBdr>
                    </w:div>
                  </w:divsChild>
                </w:div>
                <w:div w:id="2142724582">
                  <w:marLeft w:val="0"/>
                  <w:marRight w:val="0"/>
                  <w:marTop w:val="0"/>
                  <w:marBottom w:val="0"/>
                  <w:divBdr>
                    <w:top w:val="none" w:sz="0" w:space="0" w:color="auto"/>
                    <w:left w:val="none" w:sz="0" w:space="0" w:color="auto"/>
                    <w:bottom w:val="none" w:sz="0" w:space="0" w:color="auto"/>
                    <w:right w:val="none" w:sz="0" w:space="0" w:color="auto"/>
                  </w:divBdr>
                  <w:divsChild>
                    <w:div w:id="72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187">
      <w:bodyDiv w:val="1"/>
      <w:marLeft w:val="0"/>
      <w:marRight w:val="0"/>
      <w:marTop w:val="0"/>
      <w:marBottom w:val="0"/>
      <w:divBdr>
        <w:top w:val="none" w:sz="0" w:space="0" w:color="auto"/>
        <w:left w:val="none" w:sz="0" w:space="0" w:color="auto"/>
        <w:bottom w:val="none" w:sz="0" w:space="0" w:color="auto"/>
        <w:right w:val="none" w:sz="0" w:space="0" w:color="auto"/>
      </w:divBdr>
    </w:div>
    <w:div w:id="42535126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1">
          <w:marLeft w:val="0"/>
          <w:marRight w:val="0"/>
          <w:marTop w:val="0"/>
          <w:marBottom w:val="0"/>
          <w:divBdr>
            <w:top w:val="none" w:sz="0" w:space="0" w:color="auto"/>
            <w:left w:val="none" w:sz="0" w:space="0" w:color="auto"/>
            <w:bottom w:val="none" w:sz="0" w:space="0" w:color="auto"/>
            <w:right w:val="none" w:sz="0" w:space="0" w:color="auto"/>
          </w:divBdr>
        </w:div>
        <w:div w:id="320542863">
          <w:marLeft w:val="0"/>
          <w:marRight w:val="0"/>
          <w:marTop w:val="0"/>
          <w:marBottom w:val="0"/>
          <w:divBdr>
            <w:top w:val="none" w:sz="0" w:space="0" w:color="auto"/>
            <w:left w:val="none" w:sz="0" w:space="0" w:color="auto"/>
            <w:bottom w:val="none" w:sz="0" w:space="0" w:color="auto"/>
            <w:right w:val="none" w:sz="0" w:space="0" w:color="auto"/>
          </w:divBdr>
        </w:div>
        <w:div w:id="1506900237">
          <w:marLeft w:val="0"/>
          <w:marRight w:val="0"/>
          <w:marTop w:val="0"/>
          <w:marBottom w:val="0"/>
          <w:divBdr>
            <w:top w:val="none" w:sz="0" w:space="0" w:color="auto"/>
            <w:left w:val="none" w:sz="0" w:space="0" w:color="auto"/>
            <w:bottom w:val="none" w:sz="0" w:space="0" w:color="auto"/>
            <w:right w:val="none" w:sz="0" w:space="0" w:color="auto"/>
          </w:divBdr>
        </w:div>
      </w:divsChild>
    </w:div>
    <w:div w:id="433524879">
      <w:bodyDiv w:val="1"/>
      <w:marLeft w:val="0"/>
      <w:marRight w:val="0"/>
      <w:marTop w:val="0"/>
      <w:marBottom w:val="0"/>
      <w:divBdr>
        <w:top w:val="none" w:sz="0" w:space="0" w:color="auto"/>
        <w:left w:val="none" w:sz="0" w:space="0" w:color="auto"/>
        <w:bottom w:val="none" w:sz="0" w:space="0" w:color="auto"/>
        <w:right w:val="none" w:sz="0" w:space="0" w:color="auto"/>
      </w:divBdr>
      <w:divsChild>
        <w:div w:id="686637946">
          <w:marLeft w:val="0"/>
          <w:marRight w:val="0"/>
          <w:marTop w:val="0"/>
          <w:marBottom w:val="0"/>
          <w:divBdr>
            <w:top w:val="none" w:sz="0" w:space="0" w:color="auto"/>
            <w:left w:val="none" w:sz="0" w:space="0" w:color="auto"/>
            <w:bottom w:val="none" w:sz="0" w:space="0" w:color="auto"/>
            <w:right w:val="none" w:sz="0" w:space="0" w:color="auto"/>
          </w:divBdr>
          <w:divsChild>
            <w:div w:id="1141923801">
              <w:marLeft w:val="-75"/>
              <w:marRight w:val="0"/>
              <w:marTop w:val="30"/>
              <w:marBottom w:val="30"/>
              <w:divBdr>
                <w:top w:val="none" w:sz="0" w:space="0" w:color="auto"/>
                <w:left w:val="none" w:sz="0" w:space="0" w:color="auto"/>
                <w:bottom w:val="none" w:sz="0" w:space="0" w:color="auto"/>
                <w:right w:val="none" w:sz="0" w:space="0" w:color="auto"/>
              </w:divBdr>
              <w:divsChild>
                <w:div w:id="309288247">
                  <w:marLeft w:val="0"/>
                  <w:marRight w:val="0"/>
                  <w:marTop w:val="0"/>
                  <w:marBottom w:val="0"/>
                  <w:divBdr>
                    <w:top w:val="none" w:sz="0" w:space="0" w:color="auto"/>
                    <w:left w:val="none" w:sz="0" w:space="0" w:color="auto"/>
                    <w:bottom w:val="none" w:sz="0" w:space="0" w:color="auto"/>
                    <w:right w:val="none" w:sz="0" w:space="0" w:color="auto"/>
                  </w:divBdr>
                  <w:divsChild>
                    <w:div w:id="475925458">
                      <w:marLeft w:val="0"/>
                      <w:marRight w:val="0"/>
                      <w:marTop w:val="0"/>
                      <w:marBottom w:val="0"/>
                      <w:divBdr>
                        <w:top w:val="none" w:sz="0" w:space="0" w:color="auto"/>
                        <w:left w:val="none" w:sz="0" w:space="0" w:color="auto"/>
                        <w:bottom w:val="none" w:sz="0" w:space="0" w:color="auto"/>
                        <w:right w:val="none" w:sz="0" w:space="0" w:color="auto"/>
                      </w:divBdr>
                    </w:div>
                  </w:divsChild>
                </w:div>
                <w:div w:id="535580500">
                  <w:marLeft w:val="0"/>
                  <w:marRight w:val="0"/>
                  <w:marTop w:val="0"/>
                  <w:marBottom w:val="0"/>
                  <w:divBdr>
                    <w:top w:val="none" w:sz="0" w:space="0" w:color="auto"/>
                    <w:left w:val="none" w:sz="0" w:space="0" w:color="auto"/>
                    <w:bottom w:val="none" w:sz="0" w:space="0" w:color="auto"/>
                    <w:right w:val="none" w:sz="0" w:space="0" w:color="auto"/>
                  </w:divBdr>
                  <w:divsChild>
                    <w:div w:id="1283607822">
                      <w:marLeft w:val="0"/>
                      <w:marRight w:val="0"/>
                      <w:marTop w:val="0"/>
                      <w:marBottom w:val="0"/>
                      <w:divBdr>
                        <w:top w:val="none" w:sz="0" w:space="0" w:color="auto"/>
                        <w:left w:val="none" w:sz="0" w:space="0" w:color="auto"/>
                        <w:bottom w:val="none" w:sz="0" w:space="0" w:color="auto"/>
                        <w:right w:val="none" w:sz="0" w:space="0" w:color="auto"/>
                      </w:divBdr>
                    </w:div>
                  </w:divsChild>
                </w:div>
                <w:div w:id="1587499691">
                  <w:marLeft w:val="0"/>
                  <w:marRight w:val="0"/>
                  <w:marTop w:val="0"/>
                  <w:marBottom w:val="0"/>
                  <w:divBdr>
                    <w:top w:val="none" w:sz="0" w:space="0" w:color="auto"/>
                    <w:left w:val="none" w:sz="0" w:space="0" w:color="auto"/>
                    <w:bottom w:val="none" w:sz="0" w:space="0" w:color="auto"/>
                    <w:right w:val="none" w:sz="0" w:space="0" w:color="auto"/>
                  </w:divBdr>
                  <w:divsChild>
                    <w:div w:id="980577006">
                      <w:marLeft w:val="0"/>
                      <w:marRight w:val="0"/>
                      <w:marTop w:val="0"/>
                      <w:marBottom w:val="0"/>
                      <w:divBdr>
                        <w:top w:val="none" w:sz="0" w:space="0" w:color="auto"/>
                        <w:left w:val="none" w:sz="0" w:space="0" w:color="auto"/>
                        <w:bottom w:val="none" w:sz="0" w:space="0" w:color="auto"/>
                        <w:right w:val="none" w:sz="0" w:space="0" w:color="auto"/>
                      </w:divBdr>
                    </w:div>
                  </w:divsChild>
                </w:div>
                <w:div w:id="1682274192">
                  <w:marLeft w:val="0"/>
                  <w:marRight w:val="0"/>
                  <w:marTop w:val="0"/>
                  <w:marBottom w:val="0"/>
                  <w:divBdr>
                    <w:top w:val="none" w:sz="0" w:space="0" w:color="auto"/>
                    <w:left w:val="none" w:sz="0" w:space="0" w:color="auto"/>
                    <w:bottom w:val="none" w:sz="0" w:space="0" w:color="auto"/>
                    <w:right w:val="none" w:sz="0" w:space="0" w:color="auto"/>
                  </w:divBdr>
                  <w:divsChild>
                    <w:div w:id="355153005">
                      <w:marLeft w:val="0"/>
                      <w:marRight w:val="0"/>
                      <w:marTop w:val="0"/>
                      <w:marBottom w:val="0"/>
                      <w:divBdr>
                        <w:top w:val="none" w:sz="0" w:space="0" w:color="auto"/>
                        <w:left w:val="none" w:sz="0" w:space="0" w:color="auto"/>
                        <w:bottom w:val="none" w:sz="0" w:space="0" w:color="auto"/>
                        <w:right w:val="none" w:sz="0" w:space="0" w:color="auto"/>
                      </w:divBdr>
                    </w:div>
                  </w:divsChild>
                </w:div>
                <w:div w:id="1922448245">
                  <w:marLeft w:val="0"/>
                  <w:marRight w:val="0"/>
                  <w:marTop w:val="0"/>
                  <w:marBottom w:val="0"/>
                  <w:divBdr>
                    <w:top w:val="none" w:sz="0" w:space="0" w:color="auto"/>
                    <w:left w:val="none" w:sz="0" w:space="0" w:color="auto"/>
                    <w:bottom w:val="none" w:sz="0" w:space="0" w:color="auto"/>
                    <w:right w:val="none" w:sz="0" w:space="0" w:color="auto"/>
                  </w:divBdr>
                  <w:divsChild>
                    <w:div w:id="467670654">
                      <w:marLeft w:val="0"/>
                      <w:marRight w:val="0"/>
                      <w:marTop w:val="0"/>
                      <w:marBottom w:val="0"/>
                      <w:divBdr>
                        <w:top w:val="none" w:sz="0" w:space="0" w:color="auto"/>
                        <w:left w:val="none" w:sz="0" w:space="0" w:color="auto"/>
                        <w:bottom w:val="none" w:sz="0" w:space="0" w:color="auto"/>
                        <w:right w:val="none" w:sz="0" w:space="0" w:color="auto"/>
                      </w:divBdr>
                    </w:div>
                  </w:divsChild>
                </w:div>
                <w:div w:id="2036996379">
                  <w:marLeft w:val="0"/>
                  <w:marRight w:val="0"/>
                  <w:marTop w:val="0"/>
                  <w:marBottom w:val="0"/>
                  <w:divBdr>
                    <w:top w:val="none" w:sz="0" w:space="0" w:color="auto"/>
                    <w:left w:val="none" w:sz="0" w:space="0" w:color="auto"/>
                    <w:bottom w:val="none" w:sz="0" w:space="0" w:color="auto"/>
                    <w:right w:val="none" w:sz="0" w:space="0" w:color="auto"/>
                  </w:divBdr>
                  <w:divsChild>
                    <w:div w:id="205221315">
                      <w:marLeft w:val="0"/>
                      <w:marRight w:val="0"/>
                      <w:marTop w:val="0"/>
                      <w:marBottom w:val="0"/>
                      <w:divBdr>
                        <w:top w:val="none" w:sz="0" w:space="0" w:color="auto"/>
                        <w:left w:val="none" w:sz="0" w:space="0" w:color="auto"/>
                        <w:bottom w:val="none" w:sz="0" w:space="0" w:color="auto"/>
                        <w:right w:val="none" w:sz="0" w:space="0" w:color="auto"/>
                      </w:divBdr>
                    </w:div>
                  </w:divsChild>
                </w:div>
                <w:div w:id="2078897749">
                  <w:marLeft w:val="0"/>
                  <w:marRight w:val="0"/>
                  <w:marTop w:val="0"/>
                  <w:marBottom w:val="0"/>
                  <w:divBdr>
                    <w:top w:val="none" w:sz="0" w:space="0" w:color="auto"/>
                    <w:left w:val="none" w:sz="0" w:space="0" w:color="auto"/>
                    <w:bottom w:val="none" w:sz="0" w:space="0" w:color="auto"/>
                    <w:right w:val="none" w:sz="0" w:space="0" w:color="auto"/>
                  </w:divBdr>
                  <w:divsChild>
                    <w:div w:id="945042075">
                      <w:marLeft w:val="0"/>
                      <w:marRight w:val="0"/>
                      <w:marTop w:val="0"/>
                      <w:marBottom w:val="0"/>
                      <w:divBdr>
                        <w:top w:val="none" w:sz="0" w:space="0" w:color="auto"/>
                        <w:left w:val="none" w:sz="0" w:space="0" w:color="auto"/>
                        <w:bottom w:val="none" w:sz="0" w:space="0" w:color="auto"/>
                        <w:right w:val="none" w:sz="0" w:space="0" w:color="auto"/>
                      </w:divBdr>
                    </w:div>
                  </w:divsChild>
                </w:div>
                <w:div w:id="2133673165">
                  <w:marLeft w:val="0"/>
                  <w:marRight w:val="0"/>
                  <w:marTop w:val="0"/>
                  <w:marBottom w:val="0"/>
                  <w:divBdr>
                    <w:top w:val="none" w:sz="0" w:space="0" w:color="auto"/>
                    <w:left w:val="none" w:sz="0" w:space="0" w:color="auto"/>
                    <w:bottom w:val="none" w:sz="0" w:space="0" w:color="auto"/>
                    <w:right w:val="none" w:sz="0" w:space="0" w:color="auto"/>
                  </w:divBdr>
                  <w:divsChild>
                    <w:div w:id="19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6713">
          <w:marLeft w:val="0"/>
          <w:marRight w:val="0"/>
          <w:marTop w:val="0"/>
          <w:marBottom w:val="0"/>
          <w:divBdr>
            <w:top w:val="none" w:sz="0" w:space="0" w:color="auto"/>
            <w:left w:val="none" w:sz="0" w:space="0" w:color="auto"/>
            <w:bottom w:val="none" w:sz="0" w:space="0" w:color="auto"/>
            <w:right w:val="none" w:sz="0" w:space="0" w:color="auto"/>
          </w:divBdr>
        </w:div>
        <w:div w:id="1170801388">
          <w:marLeft w:val="0"/>
          <w:marRight w:val="0"/>
          <w:marTop w:val="0"/>
          <w:marBottom w:val="0"/>
          <w:divBdr>
            <w:top w:val="none" w:sz="0" w:space="0" w:color="auto"/>
            <w:left w:val="none" w:sz="0" w:space="0" w:color="auto"/>
            <w:bottom w:val="none" w:sz="0" w:space="0" w:color="auto"/>
            <w:right w:val="none" w:sz="0" w:space="0" w:color="auto"/>
          </w:divBdr>
        </w:div>
      </w:divsChild>
    </w:div>
    <w:div w:id="546071500">
      <w:bodyDiv w:val="1"/>
      <w:marLeft w:val="0"/>
      <w:marRight w:val="0"/>
      <w:marTop w:val="0"/>
      <w:marBottom w:val="0"/>
      <w:divBdr>
        <w:top w:val="none" w:sz="0" w:space="0" w:color="auto"/>
        <w:left w:val="none" w:sz="0" w:space="0" w:color="auto"/>
        <w:bottom w:val="none" w:sz="0" w:space="0" w:color="auto"/>
        <w:right w:val="none" w:sz="0" w:space="0" w:color="auto"/>
      </w:divBdr>
    </w:div>
    <w:div w:id="578517388">
      <w:bodyDiv w:val="1"/>
      <w:marLeft w:val="0"/>
      <w:marRight w:val="0"/>
      <w:marTop w:val="0"/>
      <w:marBottom w:val="0"/>
      <w:divBdr>
        <w:top w:val="none" w:sz="0" w:space="0" w:color="auto"/>
        <w:left w:val="none" w:sz="0" w:space="0" w:color="auto"/>
        <w:bottom w:val="none" w:sz="0" w:space="0" w:color="auto"/>
        <w:right w:val="none" w:sz="0" w:space="0" w:color="auto"/>
      </w:divBdr>
    </w:div>
    <w:div w:id="579143587">
      <w:bodyDiv w:val="1"/>
      <w:marLeft w:val="0"/>
      <w:marRight w:val="0"/>
      <w:marTop w:val="0"/>
      <w:marBottom w:val="0"/>
      <w:divBdr>
        <w:top w:val="none" w:sz="0" w:space="0" w:color="auto"/>
        <w:left w:val="none" w:sz="0" w:space="0" w:color="auto"/>
        <w:bottom w:val="none" w:sz="0" w:space="0" w:color="auto"/>
        <w:right w:val="none" w:sz="0" w:space="0" w:color="auto"/>
      </w:divBdr>
      <w:divsChild>
        <w:div w:id="289821721">
          <w:marLeft w:val="0"/>
          <w:marRight w:val="0"/>
          <w:marTop w:val="0"/>
          <w:marBottom w:val="0"/>
          <w:divBdr>
            <w:top w:val="none" w:sz="0" w:space="0" w:color="auto"/>
            <w:left w:val="none" w:sz="0" w:space="0" w:color="auto"/>
            <w:bottom w:val="none" w:sz="0" w:space="0" w:color="auto"/>
            <w:right w:val="none" w:sz="0" w:space="0" w:color="auto"/>
          </w:divBdr>
        </w:div>
        <w:div w:id="354617604">
          <w:marLeft w:val="0"/>
          <w:marRight w:val="0"/>
          <w:marTop w:val="0"/>
          <w:marBottom w:val="0"/>
          <w:divBdr>
            <w:top w:val="none" w:sz="0" w:space="0" w:color="auto"/>
            <w:left w:val="none" w:sz="0" w:space="0" w:color="auto"/>
            <w:bottom w:val="none" w:sz="0" w:space="0" w:color="auto"/>
            <w:right w:val="none" w:sz="0" w:space="0" w:color="auto"/>
          </w:divBdr>
          <w:divsChild>
            <w:div w:id="632712076">
              <w:marLeft w:val="0"/>
              <w:marRight w:val="0"/>
              <w:marTop w:val="0"/>
              <w:marBottom w:val="0"/>
              <w:divBdr>
                <w:top w:val="none" w:sz="0" w:space="0" w:color="auto"/>
                <w:left w:val="none" w:sz="0" w:space="0" w:color="auto"/>
                <w:bottom w:val="none" w:sz="0" w:space="0" w:color="auto"/>
                <w:right w:val="none" w:sz="0" w:space="0" w:color="auto"/>
              </w:divBdr>
            </w:div>
          </w:divsChild>
        </w:div>
        <w:div w:id="1482426745">
          <w:marLeft w:val="0"/>
          <w:marRight w:val="0"/>
          <w:marTop w:val="0"/>
          <w:marBottom w:val="0"/>
          <w:divBdr>
            <w:top w:val="none" w:sz="0" w:space="0" w:color="auto"/>
            <w:left w:val="none" w:sz="0" w:space="0" w:color="auto"/>
            <w:bottom w:val="none" w:sz="0" w:space="0" w:color="auto"/>
            <w:right w:val="none" w:sz="0" w:space="0" w:color="auto"/>
          </w:divBdr>
        </w:div>
        <w:div w:id="1822426960">
          <w:marLeft w:val="0"/>
          <w:marRight w:val="0"/>
          <w:marTop w:val="0"/>
          <w:marBottom w:val="0"/>
          <w:divBdr>
            <w:top w:val="none" w:sz="0" w:space="0" w:color="auto"/>
            <w:left w:val="none" w:sz="0" w:space="0" w:color="auto"/>
            <w:bottom w:val="none" w:sz="0" w:space="0" w:color="auto"/>
            <w:right w:val="none" w:sz="0" w:space="0" w:color="auto"/>
          </w:divBdr>
        </w:div>
        <w:div w:id="2041784063">
          <w:marLeft w:val="0"/>
          <w:marRight w:val="0"/>
          <w:marTop w:val="0"/>
          <w:marBottom w:val="0"/>
          <w:divBdr>
            <w:top w:val="none" w:sz="0" w:space="0" w:color="auto"/>
            <w:left w:val="none" w:sz="0" w:space="0" w:color="auto"/>
            <w:bottom w:val="none" w:sz="0" w:space="0" w:color="auto"/>
            <w:right w:val="none" w:sz="0" w:space="0" w:color="auto"/>
          </w:divBdr>
        </w:div>
      </w:divsChild>
    </w:div>
    <w:div w:id="787621114">
      <w:bodyDiv w:val="1"/>
      <w:marLeft w:val="0"/>
      <w:marRight w:val="0"/>
      <w:marTop w:val="0"/>
      <w:marBottom w:val="0"/>
      <w:divBdr>
        <w:top w:val="none" w:sz="0" w:space="0" w:color="auto"/>
        <w:left w:val="none" w:sz="0" w:space="0" w:color="auto"/>
        <w:bottom w:val="none" w:sz="0" w:space="0" w:color="auto"/>
        <w:right w:val="none" w:sz="0" w:space="0" w:color="auto"/>
      </w:divBdr>
    </w:div>
    <w:div w:id="867181206">
      <w:bodyDiv w:val="1"/>
      <w:marLeft w:val="0"/>
      <w:marRight w:val="0"/>
      <w:marTop w:val="0"/>
      <w:marBottom w:val="0"/>
      <w:divBdr>
        <w:top w:val="none" w:sz="0" w:space="0" w:color="auto"/>
        <w:left w:val="none" w:sz="0" w:space="0" w:color="auto"/>
        <w:bottom w:val="none" w:sz="0" w:space="0" w:color="auto"/>
        <w:right w:val="none" w:sz="0" w:space="0" w:color="auto"/>
      </w:divBdr>
    </w:div>
    <w:div w:id="931083620">
      <w:bodyDiv w:val="1"/>
      <w:marLeft w:val="0"/>
      <w:marRight w:val="0"/>
      <w:marTop w:val="0"/>
      <w:marBottom w:val="0"/>
      <w:divBdr>
        <w:top w:val="none" w:sz="0" w:space="0" w:color="auto"/>
        <w:left w:val="none" w:sz="0" w:space="0" w:color="auto"/>
        <w:bottom w:val="none" w:sz="0" w:space="0" w:color="auto"/>
        <w:right w:val="none" w:sz="0" w:space="0" w:color="auto"/>
      </w:divBdr>
    </w:div>
    <w:div w:id="952635516">
      <w:bodyDiv w:val="1"/>
      <w:marLeft w:val="0"/>
      <w:marRight w:val="0"/>
      <w:marTop w:val="0"/>
      <w:marBottom w:val="0"/>
      <w:divBdr>
        <w:top w:val="none" w:sz="0" w:space="0" w:color="auto"/>
        <w:left w:val="none" w:sz="0" w:space="0" w:color="auto"/>
        <w:bottom w:val="none" w:sz="0" w:space="0" w:color="auto"/>
        <w:right w:val="none" w:sz="0" w:space="0" w:color="auto"/>
      </w:divBdr>
      <w:divsChild>
        <w:div w:id="325134674">
          <w:marLeft w:val="0"/>
          <w:marRight w:val="0"/>
          <w:marTop w:val="0"/>
          <w:marBottom w:val="0"/>
          <w:divBdr>
            <w:top w:val="none" w:sz="0" w:space="0" w:color="auto"/>
            <w:left w:val="none" w:sz="0" w:space="0" w:color="auto"/>
            <w:bottom w:val="none" w:sz="0" w:space="0" w:color="auto"/>
            <w:right w:val="none" w:sz="0" w:space="0" w:color="auto"/>
          </w:divBdr>
        </w:div>
        <w:div w:id="1051197650">
          <w:marLeft w:val="0"/>
          <w:marRight w:val="0"/>
          <w:marTop w:val="0"/>
          <w:marBottom w:val="0"/>
          <w:divBdr>
            <w:top w:val="none" w:sz="0" w:space="0" w:color="auto"/>
            <w:left w:val="none" w:sz="0" w:space="0" w:color="auto"/>
            <w:bottom w:val="none" w:sz="0" w:space="0" w:color="auto"/>
            <w:right w:val="none" w:sz="0" w:space="0" w:color="auto"/>
          </w:divBdr>
          <w:divsChild>
            <w:div w:id="1369840133">
              <w:marLeft w:val="-75"/>
              <w:marRight w:val="0"/>
              <w:marTop w:val="30"/>
              <w:marBottom w:val="30"/>
              <w:divBdr>
                <w:top w:val="none" w:sz="0" w:space="0" w:color="auto"/>
                <w:left w:val="none" w:sz="0" w:space="0" w:color="auto"/>
                <w:bottom w:val="none" w:sz="0" w:space="0" w:color="auto"/>
                <w:right w:val="none" w:sz="0" w:space="0" w:color="auto"/>
              </w:divBdr>
              <w:divsChild>
                <w:div w:id="2323780">
                  <w:marLeft w:val="0"/>
                  <w:marRight w:val="0"/>
                  <w:marTop w:val="0"/>
                  <w:marBottom w:val="0"/>
                  <w:divBdr>
                    <w:top w:val="none" w:sz="0" w:space="0" w:color="auto"/>
                    <w:left w:val="none" w:sz="0" w:space="0" w:color="auto"/>
                    <w:bottom w:val="none" w:sz="0" w:space="0" w:color="auto"/>
                    <w:right w:val="none" w:sz="0" w:space="0" w:color="auto"/>
                  </w:divBdr>
                  <w:divsChild>
                    <w:div w:id="498931784">
                      <w:marLeft w:val="0"/>
                      <w:marRight w:val="0"/>
                      <w:marTop w:val="0"/>
                      <w:marBottom w:val="0"/>
                      <w:divBdr>
                        <w:top w:val="none" w:sz="0" w:space="0" w:color="auto"/>
                        <w:left w:val="none" w:sz="0" w:space="0" w:color="auto"/>
                        <w:bottom w:val="none" w:sz="0" w:space="0" w:color="auto"/>
                        <w:right w:val="none" w:sz="0" w:space="0" w:color="auto"/>
                      </w:divBdr>
                    </w:div>
                  </w:divsChild>
                </w:div>
                <w:div w:id="88425721">
                  <w:marLeft w:val="0"/>
                  <w:marRight w:val="0"/>
                  <w:marTop w:val="0"/>
                  <w:marBottom w:val="0"/>
                  <w:divBdr>
                    <w:top w:val="none" w:sz="0" w:space="0" w:color="auto"/>
                    <w:left w:val="none" w:sz="0" w:space="0" w:color="auto"/>
                    <w:bottom w:val="none" w:sz="0" w:space="0" w:color="auto"/>
                    <w:right w:val="none" w:sz="0" w:space="0" w:color="auto"/>
                  </w:divBdr>
                  <w:divsChild>
                    <w:div w:id="1401371375">
                      <w:marLeft w:val="0"/>
                      <w:marRight w:val="0"/>
                      <w:marTop w:val="0"/>
                      <w:marBottom w:val="0"/>
                      <w:divBdr>
                        <w:top w:val="none" w:sz="0" w:space="0" w:color="auto"/>
                        <w:left w:val="none" w:sz="0" w:space="0" w:color="auto"/>
                        <w:bottom w:val="none" w:sz="0" w:space="0" w:color="auto"/>
                        <w:right w:val="none" w:sz="0" w:space="0" w:color="auto"/>
                      </w:divBdr>
                    </w:div>
                  </w:divsChild>
                </w:div>
                <w:div w:id="262879161">
                  <w:marLeft w:val="0"/>
                  <w:marRight w:val="0"/>
                  <w:marTop w:val="0"/>
                  <w:marBottom w:val="0"/>
                  <w:divBdr>
                    <w:top w:val="none" w:sz="0" w:space="0" w:color="auto"/>
                    <w:left w:val="none" w:sz="0" w:space="0" w:color="auto"/>
                    <w:bottom w:val="none" w:sz="0" w:space="0" w:color="auto"/>
                    <w:right w:val="none" w:sz="0" w:space="0" w:color="auto"/>
                  </w:divBdr>
                  <w:divsChild>
                    <w:div w:id="281041426">
                      <w:marLeft w:val="0"/>
                      <w:marRight w:val="0"/>
                      <w:marTop w:val="0"/>
                      <w:marBottom w:val="0"/>
                      <w:divBdr>
                        <w:top w:val="none" w:sz="0" w:space="0" w:color="auto"/>
                        <w:left w:val="none" w:sz="0" w:space="0" w:color="auto"/>
                        <w:bottom w:val="none" w:sz="0" w:space="0" w:color="auto"/>
                        <w:right w:val="none" w:sz="0" w:space="0" w:color="auto"/>
                      </w:divBdr>
                    </w:div>
                  </w:divsChild>
                </w:div>
                <w:div w:id="475070938">
                  <w:marLeft w:val="0"/>
                  <w:marRight w:val="0"/>
                  <w:marTop w:val="0"/>
                  <w:marBottom w:val="0"/>
                  <w:divBdr>
                    <w:top w:val="none" w:sz="0" w:space="0" w:color="auto"/>
                    <w:left w:val="none" w:sz="0" w:space="0" w:color="auto"/>
                    <w:bottom w:val="none" w:sz="0" w:space="0" w:color="auto"/>
                    <w:right w:val="none" w:sz="0" w:space="0" w:color="auto"/>
                  </w:divBdr>
                  <w:divsChild>
                    <w:div w:id="457141293">
                      <w:marLeft w:val="0"/>
                      <w:marRight w:val="0"/>
                      <w:marTop w:val="0"/>
                      <w:marBottom w:val="0"/>
                      <w:divBdr>
                        <w:top w:val="none" w:sz="0" w:space="0" w:color="auto"/>
                        <w:left w:val="none" w:sz="0" w:space="0" w:color="auto"/>
                        <w:bottom w:val="none" w:sz="0" w:space="0" w:color="auto"/>
                        <w:right w:val="none" w:sz="0" w:space="0" w:color="auto"/>
                      </w:divBdr>
                    </w:div>
                  </w:divsChild>
                </w:div>
                <w:div w:id="503395410">
                  <w:marLeft w:val="0"/>
                  <w:marRight w:val="0"/>
                  <w:marTop w:val="0"/>
                  <w:marBottom w:val="0"/>
                  <w:divBdr>
                    <w:top w:val="none" w:sz="0" w:space="0" w:color="auto"/>
                    <w:left w:val="none" w:sz="0" w:space="0" w:color="auto"/>
                    <w:bottom w:val="none" w:sz="0" w:space="0" w:color="auto"/>
                    <w:right w:val="none" w:sz="0" w:space="0" w:color="auto"/>
                  </w:divBdr>
                  <w:divsChild>
                    <w:div w:id="1855142440">
                      <w:marLeft w:val="0"/>
                      <w:marRight w:val="0"/>
                      <w:marTop w:val="0"/>
                      <w:marBottom w:val="0"/>
                      <w:divBdr>
                        <w:top w:val="none" w:sz="0" w:space="0" w:color="auto"/>
                        <w:left w:val="none" w:sz="0" w:space="0" w:color="auto"/>
                        <w:bottom w:val="none" w:sz="0" w:space="0" w:color="auto"/>
                        <w:right w:val="none" w:sz="0" w:space="0" w:color="auto"/>
                      </w:divBdr>
                    </w:div>
                  </w:divsChild>
                </w:div>
                <w:div w:id="522476088">
                  <w:marLeft w:val="0"/>
                  <w:marRight w:val="0"/>
                  <w:marTop w:val="0"/>
                  <w:marBottom w:val="0"/>
                  <w:divBdr>
                    <w:top w:val="none" w:sz="0" w:space="0" w:color="auto"/>
                    <w:left w:val="none" w:sz="0" w:space="0" w:color="auto"/>
                    <w:bottom w:val="none" w:sz="0" w:space="0" w:color="auto"/>
                    <w:right w:val="none" w:sz="0" w:space="0" w:color="auto"/>
                  </w:divBdr>
                  <w:divsChild>
                    <w:div w:id="694889929">
                      <w:marLeft w:val="0"/>
                      <w:marRight w:val="0"/>
                      <w:marTop w:val="0"/>
                      <w:marBottom w:val="0"/>
                      <w:divBdr>
                        <w:top w:val="none" w:sz="0" w:space="0" w:color="auto"/>
                        <w:left w:val="none" w:sz="0" w:space="0" w:color="auto"/>
                        <w:bottom w:val="none" w:sz="0" w:space="0" w:color="auto"/>
                        <w:right w:val="none" w:sz="0" w:space="0" w:color="auto"/>
                      </w:divBdr>
                    </w:div>
                  </w:divsChild>
                </w:div>
                <w:div w:id="579756292">
                  <w:marLeft w:val="0"/>
                  <w:marRight w:val="0"/>
                  <w:marTop w:val="0"/>
                  <w:marBottom w:val="0"/>
                  <w:divBdr>
                    <w:top w:val="none" w:sz="0" w:space="0" w:color="auto"/>
                    <w:left w:val="none" w:sz="0" w:space="0" w:color="auto"/>
                    <w:bottom w:val="none" w:sz="0" w:space="0" w:color="auto"/>
                    <w:right w:val="none" w:sz="0" w:space="0" w:color="auto"/>
                  </w:divBdr>
                  <w:divsChild>
                    <w:div w:id="2105688560">
                      <w:marLeft w:val="0"/>
                      <w:marRight w:val="0"/>
                      <w:marTop w:val="0"/>
                      <w:marBottom w:val="0"/>
                      <w:divBdr>
                        <w:top w:val="none" w:sz="0" w:space="0" w:color="auto"/>
                        <w:left w:val="none" w:sz="0" w:space="0" w:color="auto"/>
                        <w:bottom w:val="none" w:sz="0" w:space="0" w:color="auto"/>
                        <w:right w:val="none" w:sz="0" w:space="0" w:color="auto"/>
                      </w:divBdr>
                    </w:div>
                  </w:divsChild>
                </w:div>
                <w:div w:id="651249635">
                  <w:marLeft w:val="0"/>
                  <w:marRight w:val="0"/>
                  <w:marTop w:val="0"/>
                  <w:marBottom w:val="0"/>
                  <w:divBdr>
                    <w:top w:val="none" w:sz="0" w:space="0" w:color="auto"/>
                    <w:left w:val="none" w:sz="0" w:space="0" w:color="auto"/>
                    <w:bottom w:val="none" w:sz="0" w:space="0" w:color="auto"/>
                    <w:right w:val="none" w:sz="0" w:space="0" w:color="auto"/>
                  </w:divBdr>
                  <w:divsChild>
                    <w:div w:id="289408892">
                      <w:marLeft w:val="0"/>
                      <w:marRight w:val="0"/>
                      <w:marTop w:val="0"/>
                      <w:marBottom w:val="0"/>
                      <w:divBdr>
                        <w:top w:val="none" w:sz="0" w:space="0" w:color="auto"/>
                        <w:left w:val="none" w:sz="0" w:space="0" w:color="auto"/>
                        <w:bottom w:val="none" w:sz="0" w:space="0" w:color="auto"/>
                        <w:right w:val="none" w:sz="0" w:space="0" w:color="auto"/>
                      </w:divBdr>
                    </w:div>
                  </w:divsChild>
                </w:div>
                <w:div w:id="764424887">
                  <w:marLeft w:val="0"/>
                  <w:marRight w:val="0"/>
                  <w:marTop w:val="0"/>
                  <w:marBottom w:val="0"/>
                  <w:divBdr>
                    <w:top w:val="none" w:sz="0" w:space="0" w:color="auto"/>
                    <w:left w:val="none" w:sz="0" w:space="0" w:color="auto"/>
                    <w:bottom w:val="none" w:sz="0" w:space="0" w:color="auto"/>
                    <w:right w:val="none" w:sz="0" w:space="0" w:color="auto"/>
                  </w:divBdr>
                  <w:divsChild>
                    <w:div w:id="1882276993">
                      <w:marLeft w:val="0"/>
                      <w:marRight w:val="0"/>
                      <w:marTop w:val="0"/>
                      <w:marBottom w:val="0"/>
                      <w:divBdr>
                        <w:top w:val="none" w:sz="0" w:space="0" w:color="auto"/>
                        <w:left w:val="none" w:sz="0" w:space="0" w:color="auto"/>
                        <w:bottom w:val="none" w:sz="0" w:space="0" w:color="auto"/>
                        <w:right w:val="none" w:sz="0" w:space="0" w:color="auto"/>
                      </w:divBdr>
                    </w:div>
                  </w:divsChild>
                </w:div>
                <w:div w:id="774205469">
                  <w:marLeft w:val="0"/>
                  <w:marRight w:val="0"/>
                  <w:marTop w:val="0"/>
                  <w:marBottom w:val="0"/>
                  <w:divBdr>
                    <w:top w:val="none" w:sz="0" w:space="0" w:color="auto"/>
                    <w:left w:val="none" w:sz="0" w:space="0" w:color="auto"/>
                    <w:bottom w:val="none" w:sz="0" w:space="0" w:color="auto"/>
                    <w:right w:val="none" w:sz="0" w:space="0" w:color="auto"/>
                  </w:divBdr>
                  <w:divsChild>
                    <w:div w:id="1941529565">
                      <w:marLeft w:val="0"/>
                      <w:marRight w:val="0"/>
                      <w:marTop w:val="0"/>
                      <w:marBottom w:val="0"/>
                      <w:divBdr>
                        <w:top w:val="none" w:sz="0" w:space="0" w:color="auto"/>
                        <w:left w:val="none" w:sz="0" w:space="0" w:color="auto"/>
                        <w:bottom w:val="none" w:sz="0" w:space="0" w:color="auto"/>
                        <w:right w:val="none" w:sz="0" w:space="0" w:color="auto"/>
                      </w:divBdr>
                    </w:div>
                  </w:divsChild>
                </w:div>
                <w:div w:id="783115462">
                  <w:marLeft w:val="0"/>
                  <w:marRight w:val="0"/>
                  <w:marTop w:val="0"/>
                  <w:marBottom w:val="0"/>
                  <w:divBdr>
                    <w:top w:val="none" w:sz="0" w:space="0" w:color="auto"/>
                    <w:left w:val="none" w:sz="0" w:space="0" w:color="auto"/>
                    <w:bottom w:val="none" w:sz="0" w:space="0" w:color="auto"/>
                    <w:right w:val="none" w:sz="0" w:space="0" w:color="auto"/>
                  </w:divBdr>
                  <w:divsChild>
                    <w:div w:id="830364913">
                      <w:marLeft w:val="0"/>
                      <w:marRight w:val="0"/>
                      <w:marTop w:val="0"/>
                      <w:marBottom w:val="0"/>
                      <w:divBdr>
                        <w:top w:val="none" w:sz="0" w:space="0" w:color="auto"/>
                        <w:left w:val="none" w:sz="0" w:space="0" w:color="auto"/>
                        <w:bottom w:val="none" w:sz="0" w:space="0" w:color="auto"/>
                        <w:right w:val="none" w:sz="0" w:space="0" w:color="auto"/>
                      </w:divBdr>
                    </w:div>
                  </w:divsChild>
                </w:div>
                <w:div w:id="916404067">
                  <w:marLeft w:val="0"/>
                  <w:marRight w:val="0"/>
                  <w:marTop w:val="0"/>
                  <w:marBottom w:val="0"/>
                  <w:divBdr>
                    <w:top w:val="none" w:sz="0" w:space="0" w:color="auto"/>
                    <w:left w:val="none" w:sz="0" w:space="0" w:color="auto"/>
                    <w:bottom w:val="none" w:sz="0" w:space="0" w:color="auto"/>
                    <w:right w:val="none" w:sz="0" w:space="0" w:color="auto"/>
                  </w:divBdr>
                  <w:divsChild>
                    <w:div w:id="2142726173">
                      <w:marLeft w:val="0"/>
                      <w:marRight w:val="0"/>
                      <w:marTop w:val="0"/>
                      <w:marBottom w:val="0"/>
                      <w:divBdr>
                        <w:top w:val="none" w:sz="0" w:space="0" w:color="auto"/>
                        <w:left w:val="none" w:sz="0" w:space="0" w:color="auto"/>
                        <w:bottom w:val="none" w:sz="0" w:space="0" w:color="auto"/>
                        <w:right w:val="none" w:sz="0" w:space="0" w:color="auto"/>
                      </w:divBdr>
                    </w:div>
                  </w:divsChild>
                </w:div>
                <w:div w:id="992219106">
                  <w:marLeft w:val="0"/>
                  <w:marRight w:val="0"/>
                  <w:marTop w:val="0"/>
                  <w:marBottom w:val="0"/>
                  <w:divBdr>
                    <w:top w:val="none" w:sz="0" w:space="0" w:color="auto"/>
                    <w:left w:val="none" w:sz="0" w:space="0" w:color="auto"/>
                    <w:bottom w:val="none" w:sz="0" w:space="0" w:color="auto"/>
                    <w:right w:val="none" w:sz="0" w:space="0" w:color="auto"/>
                  </w:divBdr>
                  <w:divsChild>
                    <w:div w:id="1130659">
                      <w:marLeft w:val="0"/>
                      <w:marRight w:val="0"/>
                      <w:marTop w:val="0"/>
                      <w:marBottom w:val="0"/>
                      <w:divBdr>
                        <w:top w:val="none" w:sz="0" w:space="0" w:color="auto"/>
                        <w:left w:val="none" w:sz="0" w:space="0" w:color="auto"/>
                        <w:bottom w:val="none" w:sz="0" w:space="0" w:color="auto"/>
                        <w:right w:val="none" w:sz="0" w:space="0" w:color="auto"/>
                      </w:divBdr>
                    </w:div>
                  </w:divsChild>
                </w:div>
                <w:div w:id="1220173008">
                  <w:marLeft w:val="0"/>
                  <w:marRight w:val="0"/>
                  <w:marTop w:val="0"/>
                  <w:marBottom w:val="0"/>
                  <w:divBdr>
                    <w:top w:val="none" w:sz="0" w:space="0" w:color="auto"/>
                    <w:left w:val="none" w:sz="0" w:space="0" w:color="auto"/>
                    <w:bottom w:val="none" w:sz="0" w:space="0" w:color="auto"/>
                    <w:right w:val="none" w:sz="0" w:space="0" w:color="auto"/>
                  </w:divBdr>
                  <w:divsChild>
                    <w:div w:id="1561558353">
                      <w:marLeft w:val="0"/>
                      <w:marRight w:val="0"/>
                      <w:marTop w:val="0"/>
                      <w:marBottom w:val="0"/>
                      <w:divBdr>
                        <w:top w:val="none" w:sz="0" w:space="0" w:color="auto"/>
                        <w:left w:val="none" w:sz="0" w:space="0" w:color="auto"/>
                        <w:bottom w:val="none" w:sz="0" w:space="0" w:color="auto"/>
                        <w:right w:val="none" w:sz="0" w:space="0" w:color="auto"/>
                      </w:divBdr>
                    </w:div>
                  </w:divsChild>
                </w:div>
                <w:div w:id="1249073458">
                  <w:marLeft w:val="0"/>
                  <w:marRight w:val="0"/>
                  <w:marTop w:val="0"/>
                  <w:marBottom w:val="0"/>
                  <w:divBdr>
                    <w:top w:val="none" w:sz="0" w:space="0" w:color="auto"/>
                    <w:left w:val="none" w:sz="0" w:space="0" w:color="auto"/>
                    <w:bottom w:val="none" w:sz="0" w:space="0" w:color="auto"/>
                    <w:right w:val="none" w:sz="0" w:space="0" w:color="auto"/>
                  </w:divBdr>
                  <w:divsChild>
                    <w:div w:id="2086297448">
                      <w:marLeft w:val="0"/>
                      <w:marRight w:val="0"/>
                      <w:marTop w:val="0"/>
                      <w:marBottom w:val="0"/>
                      <w:divBdr>
                        <w:top w:val="none" w:sz="0" w:space="0" w:color="auto"/>
                        <w:left w:val="none" w:sz="0" w:space="0" w:color="auto"/>
                        <w:bottom w:val="none" w:sz="0" w:space="0" w:color="auto"/>
                        <w:right w:val="none" w:sz="0" w:space="0" w:color="auto"/>
                      </w:divBdr>
                    </w:div>
                  </w:divsChild>
                </w:div>
                <w:div w:id="1284313382">
                  <w:marLeft w:val="0"/>
                  <w:marRight w:val="0"/>
                  <w:marTop w:val="0"/>
                  <w:marBottom w:val="0"/>
                  <w:divBdr>
                    <w:top w:val="none" w:sz="0" w:space="0" w:color="auto"/>
                    <w:left w:val="none" w:sz="0" w:space="0" w:color="auto"/>
                    <w:bottom w:val="none" w:sz="0" w:space="0" w:color="auto"/>
                    <w:right w:val="none" w:sz="0" w:space="0" w:color="auto"/>
                  </w:divBdr>
                  <w:divsChild>
                    <w:div w:id="429010712">
                      <w:marLeft w:val="0"/>
                      <w:marRight w:val="0"/>
                      <w:marTop w:val="0"/>
                      <w:marBottom w:val="0"/>
                      <w:divBdr>
                        <w:top w:val="none" w:sz="0" w:space="0" w:color="auto"/>
                        <w:left w:val="none" w:sz="0" w:space="0" w:color="auto"/>
                        <w:bottom w:val="none" w:sz="0" w:space="0" w:color="auto"/>
                        <w:right w:val="none" w:sz="0" w:space="0" w:color="auto"/>
                      </w:divBdr>
                    </w:div>
                  </w:divsChild>
                </w:div>
                <w:div w:id="1349484153">
                  <w:marLeft w:val="0"/>
                  <w:marRight w:val="0"/>
                  <w:marTop w:val="0"/>
                  <w:marBottom w:val="0"/>
                  <w:divBdr>
                    <w:top w:val="none" w:sz="0" w:space="0" w:color="auto"/>
                    <w:left w:val="none" w:sz="0" w:space="0" w:color="auto"/>
                    <w:bottom w:val="none" w:sz="0" w:space="0" w:color="auto"/>
                    <w:right w:val="none" w:sz="0" w:space="0" w:color="auto"/>
                  </w:divBdr>
                  <w:divsChild>
                    <w:div w:id="890076594">
                      <w:marLeft w:val="0"/>
                      <w:marRight w:val="0"/>
                      <w:marTop w:val="0"/>
                      <w:marBottom w:val="0"/>
                      <w:divBdr>
                        <w:top w:val="none" w:sz="0" w:space="0" w:color="auto"/>
                        <w:left w:val="none" w:sz="0" w:space="0" w:color="auto"/>
                        <w:bottom w:val="none" w:sz="0" w:space="0" w:color="auto"/>
                        <w:right w:val="none" w:sz="0" w:space="0" w:color="auto"/>
                      </w:divBdr>
                    </w:div>
                  </w:divsChild>
                </w:div>
                <w:div w:id="1426535596">
                  <w:marLeft w:val="0"/>
                  <w:marRight w:val="0"/>
                  <w:marTop w:val="0"/>
                  <w:marBottom w:val="0"/>
                  <w:divBdr>
                    <w:top w:val="none" w:sz="0" w:space="0" w:color="auto"/>
                    <w:left w:val="none" w:sz="0" w:space="0" w:color="auto"/>
                    <w:bottom w:val="none" w:sz="0" w:space="0" w:color="auto"/>
                    <w:right w:val="none" w:sz="0" w:space="0" w:color="auto"/>
                  </w:divBdr>
                  <w:divsChild>
                    <w:div w:id="605694264">
                      <w:marLeft w:val="0"/>
                      <w:marRight w:val="0"/>
                      <w:marTop w:val="0"/>
                      <w:marBottom w:val="0"/>
                      <w:divBdr>
                        <w:top w:val="none" w:sz="0" w:space="0" w:color="auto"/>
                        <w:left w:val="none" w:sz="0" w:space="0" w:color="auto"/>
                        <w:bottom w:val="none" w:sz="0" w:space="0" w:color="auto"/>
                        <w:right w:val="none" w:sz="0" w:space="0" w:color="auto"/>
                      </w:divBdr>
                    </w:div>
                  </w:divsChild>
                </w:div>
                <w:div w:id="1463498930">
                  <w:marLeft w:val="0"/>
                  <w:marRight w:val="0"/>
                  <w:marTop w:val="0"/>
                  <w:marBottom w:val="0"/>
                  <w:divBdr>
                    <w:top w:val="none" w:sz="0" w:space="0" w:color="auto"/>
                    <w:left w:val="none" w:sz="0" w:space="0" w:color="auto"/>
                    <w:bottom w:val="none" w:sz="0" w:space="0" w:color="auto"/>
                    <w:right w:val="none" w:sz="0" w:space="0" w:color="auto"/>
                  </w:divBdr>
                  <w:divsChild>
                    <w:div w:id="1435905159">
                      <w:marLeft w:val="0"/>
                      <w:marRight w:val="0"/>
                      <w:marTop w:val="0"/>
                      <w:marBottom w:val="0"/>
                      <w:divBdr>
                        <w:top w:val="none" w:sz="0" w:space="0" w:color="auto"/>
                        <w:left w:val="none" w:sz="0" w:space="0" w:color="auto"/>
                        <w:bottom w:val="none" w:sz="0" w:space="0" w:color="auto"/>
                        <w:right w:val="none" w:sz="0" w:space="0" w:color="auto"/>
                      </w:divBdr>
                    </w:div>
                  </w:divsChild>
                </w:div>
                <w:div w:id="1488788157">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
                  </w:divsChild>
                </w:div>
                <w:div w:id="1550993546">
                  <w:marLeft w:val="0"/>
                  <w:marRight w:val="0"/>
                  <w:marTop w:val="0"/>
                  <w:marBottom w:val="0"/>
                  <w:divBdr>
                    <w:top w:val="none" w:sz="0" w:space="0" w:color="auto"/>
                    <w:left w:val="none" w:sz="0" w:space="0" w:color="auto"/>
                    <w:bottom w:val="none" w:sz="0" w:space="0" w:color="auto"/>
                    <w:right w:val="none" w:sz="0" w:space="0" w:color="auto"/>
                  </w:divBdr>
                  <w:divsChild>
                    <w:div w:id="1932809444">
                      <w:marLeft w:val="0"/>
                      <w:marRight w:val="0"/>
                      <w:marTop w:val="0"/>
                      <w:marBottom w:val="0"/>
                      <w:divBdr>
                        <w:top w:val="none" w:sz="0" w:space="0" w:color="auto"/>
                        <w:left w:val="none" w:sz="0" w:space="0" w:color="auto"/>
                        <w:bottom w:val="none" w:sz="0" w:space="0" w:color="auto"/>
                        <w:right w:val="none" w:sz="0" w:space="0" w:color="auto"/>
                      </w:divBdr>
                    </w:div>
                  </w:divsChild>
                </w:div>
                <w:div w:id="1605305905">
                  <w:marLeft w:val="0"/>
                  <w:marRight w:val="0"/>
                  <w:marTop w:val="0"/>
                  <w:marBottom w:val="0"/>
                  <w:divBdr>
                    <w:top w:val="none" w:sz="0" w:space="0" w:color="auto"/>
                    <w:left w:val="none" w:sz="0" w:space="0" w:color="auto"/>
                    <w:bottom w:val="none" w:sz="0" w:space="0" w:color="auto"/>
                    <w:right w:val="none" w:sz="0" w:space="0" w:color="auto"/>
                  </w:divBdr>
                  <w:divsChild>
                    <w:div w:id="788477681">
                      <w:marLeft w:val="0"/>
                      <w:marRight w:val="0"/>
                      <w:marTop w:val="0"/>
                      <w:marBottom w:val="0"/>
                      <w:divBdr>
                        <w:top w:val="none" w:sz="0" w:space="0" w:color="auto"/>
                        <w:left w:val="none" w:sz="0" w:space="0" w:color="auto"/>
                        <w:bottom w:val="none" w:sz="0" w:space="0" w:color="auto"/>
                        <w:right w:val="none" w:sz="0" w:space="0" w:color="auto"/>
                      </w:divBdr>
                    </w:div>
                  </w:divsChild>
                </w:div>
                <w:div w:id="1649935621">
                  <w:marLeft w:val="0"/>
                  <w:marRight w:val="0"/>
                  <w:marTop w:val="0"/>
                  <w:marBottom w:val="0"/>
                  <w:divBdr>
                    <w:top w:val="none" w:sz="0" w:space="0" w:color="auto"/>
                    <w:left w:val="none" w:sz="0" w:space="0" w:color="auto"/>
                    <w:bottom w:val="none" w:sz="0" w:space="0" w:color="auto"/>
                    <w:right w:val="none" w:sz="0" w:space="0" w:color="auto"/>
                  </w:divBdr>
                  <w:divsChild>
                    <w:div w:id="1348557619">
                      <w:marLeft w:val="0"/>
                      <w:marRight w:val="0"/>
                      <w:marTop w:val="0"/>
                      <w:marBottom w:val="0"/>
                      <w:divBdr>
                        <w:top w:val="none" w:sz="0" w:space="0" w:color="auto"/>
                        <w:left w:val="none" w:sz="0" w:space="0" w:color="auto"/>
                        <w:bottom w:val="none" w:sz="0" w:space="0" w:color="auto"/>
                        <w:right w:val="none" w:sz="0" w:space="0" w:color="auto"/>
                      </w:divBdr>
                    </w:div>
                  </w:divsChild>
                </w:div>
                <w:div w:id="1687822667">
                  <w:marLeft w:val="0"/>
                  <w:marRight w:val="0"/>
                  <w:marTop w:val="0"/>
                  <w:marBottom w:val="0"/>
                  <w:divBdr>
                    <w:top w:val="none" w:sz="0" w:space="0" w:color="auto"/>
                    <w:left w:val="none" w:sz="0" w:space="0" w:color="auto"/>
                    <w:bottom w:val="none" w:sz="0" w:space="0" w:color="auto"/>
                    <w:right w:val="none" w:sz="0" w:space="0" w:color="auto"/>
                  </w:divBdr>
                  <w:divsChild>
                    <w:div w:id="1229918408">
                      <w:marLeft w:val="0"/>
                      <w:marRight w:val="0"/>
                      <w:marTop w:val="0"/>
                      <w:marBottom w:val="0"/>
                      <w:divBdr>
                        <w:top w:val="none" w:sz="0" w:space="0" w:color="auto"/>
                        <w:left w:val="none" w:sz="0" w:space="0" w:color="auto"/>
                        <w:bottom w:val="none" w:sz="0" w:space="0" w:color="auto"/>
                        <w:right w:val="none" w:sz="0" w:space="0" w:color="auto"/>
                      </w:divBdr>
                    </w:div>
                  </w:divsChild>
                </w:div>
                <w:div w:id="1689863906">
                  <w:marLeft w:val="0"/>
                  <w:marRight w:val="0"/>
                  <w:marTop w:val="0"/>
                  <w:marBottom w:val="0"/>
                  <w:divBdr>
                    <w:top w:val="none" w:sz="0" w:space="0" w:color="auto"/>
                    <w:left w:val="none" w:sz="0" w:space="0" w:color="auto"/>
                    <w:bottom w:val="none" w:sz="0" w:space="0" w:color="auto"/>
                    <w:right w:val="none" w:sz="0" w:space="0" w:color="auto"/>
                  </w:divBdr>
                  <w:divsChild>
                    <w:div w:id="896085665">
                      <w:marLeft w:val="0"/>
                      <w:marRight w:val="0"/>
                      <w:marTop w:val="0"/>
                      <w:marBottom w:val="0"/>
                      <w:divBdr>
                        <w:top w:val="none" w:sz="0" w:space="0" w:color="auto"/>
                        <w:left w:val="none" w:sz="0" w:space="0" w:color="auto"/>
                        <w:bottom w:val="none" w:sz="0" w:space="0" w:color="auto"/>
                        <w:right w:val="none" w:sz="0" w:space="0" w:color="auto"/>
                      </w:divBdr>
                    </w:div>
                  </w:divsChild>
                </w:div>
                <w:div w:id="1701735381">
                  <w:marLeft w:val="0"/>
                  <w:marRight w:val="0"/>
                  <w:marTop w:val="0"/>
                  <w:marBottom w:val="0"/>
                  <w:divBdr>
                    <w:top w:val="none" w:sz="0" w:space="0" w:color="auto"/>
                    <w:left w:val="none" w:sz="0" w:space="0" w:color="auto"/>
                    <w:bottom w:val="none" w:sz="0" w:space="0" w:color="auto"/>
                    <w:right w:val="none" w:sz="0" w:space="0" w:color="auto"/>
                  </w:divBdr>
                  <w:divsChild>
                    <w:div w:id="1839684687">
                      <w:marLeft w:val="0"/>
                      <w:marRight w:val="0"/>
                      <w:marTop w:val="0"/>
                      <w:marBottom w:val="0"/>
                      <w:divBdr>
                        <w:top w:val="none" w:sz="0" w:space="0" w:color="auto"/>
                        <w:left w:val="none" w:sz="0" w:space="0" w:color="auto"/>
                        <w:bottom w:val="none" w:sz="0" w:space="0" w:color="auto"/>
                        <w:right w:val="none" w:sz="0" w:space="0" w:color="auto"/>
                      </w:divBdr>
                    </w:div>
                  </w:divsChild>
                </w:div>
                <w:div w:id="1916741976">
                  <w:marLeft w:val="0"/>
                  <w:marRight w:val="0"/>
                  <w:marTop w:val="0"/>
                  <w:marBottom w:val="0"/>
                  <w:divBdr>
                    <w:top w:val="none" w:sz="0" w:space="0" w:color="auto"/>
                    <w:left w:val="none" w:sz="0" w:space="0" w:color="auto"/>
                    <w:bottom w:val="none" w:sz="0" w:space="0" w:color="auto"/>
                    <w:right w:val="none" w:sz="0" w:space="0" w:color="auto"/>
                  </w:divBdr>
                  <w:divsChild>
                    <w:div w:id="743603502">
                      <w:marLeft w:val="0"/>
                      <w:marRight w:val="0"/>
                      <w:marTop w:val="0"/>
                      <w:marBottom w:val="0"/>
                      <w:divBdr>
                        <w:top w:val="none" w:sz="0" w:space="0" w:color="auto"/>
                        <w:left w:val="none" w:sz="0" w:space="0" w:color="auto"/>
                        <w:bottom w:val="none" w:sz="0" w:space="0" w:color="auto"/>
                        <w:right w:val="none" w:sz="0" w:space="0" w:color="auto"/>
                      </w:divBdr>
                    </w:div>
                  </w:divsChild>
                </w:div>
                <w:div w:id="2078740234">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803">
          <w:marLeft w:val="0"/>
          <w:marRight w:val="0"/>
          <w:marTop w:val="0"/>
          <w:marBottom w:val="0"/>
          <w:divBdr>
            <w:top w:val="none" w:sz="0" w:space="0" w:color="auto"/>
            <w:left w:val="none" w:sz="0" w:space="0" w:color="auto"/>
            <w:bottom w:val="none" w:sz="0" w:space="0" w:color="auto"/>
            <w:right w:val="none" w:sz="0" w:space="0" w:color="auto"/>
          </w:divBdr>
        </w:div>
        <w:div w:id="1475831269">
          <w:marLeft w:val="0"/>
          <w:marRight w:val="0"/>
          <w:marTop w:val="0"/>
          <w:marBottom w:val="0"/>
          <w:divBdr>
            <w:top w:val="none" w:sz="0" w:space="0" w:color="auto"/>
            <w:left w:val="none" w:sz="0" w:space="0" w:color="auto"/>
            <w:bottom w:val="none" w:sz="0" w:space="0" w:color="auto"/>
            <w:right w:val="none" w:sz="0" w:space="0" w:color="auto"/>
          </w:divBdr>
        </w:div>
        <w:div w:id="1498690635">
          <w:marLeft w:val="0"/>
          <w:marRight w:val="0"/>
          <w:marTop w:val="0"/>
          <w:marBottom w:val="0"/>
          <w:divBdr>
            <w:top w:val="none" w:sz="0" w:space="0" w:color="auto"/>
            <w:left w:val="none" w:sz="0" w:space="0" w:color="auto"/>
            <w:bottom w:val="none" w:sz="0" w:space="0" w:color="auto"/>
            <w:right w:val="none" w:sz="0" w:space="0" w:color="auto"/>
          </w:divBdr>
        </w:div>
      </w:divsChild>
    </w:div>
    <w:div w:id="980429631">
      <w:bodyDiv w:val="1"/>
      <w:marLeft w:val="0"/>
      <w:marRight w:val="0"/>
      <w:marTop w:val="0"/>
      <w:marBottom w:val="0"/>
      <w:divBdr>
        <w:top w:val="none" w:sz="0" w:space="0" w:color="auto"/>
        <w:left w:val="none" w:sz="0" w:space="0" w:color="auto"/>
        <w:bottom w:val="none" w:sz="0" w:space="0" w:color="auto"/>
        <w:right w:val="none" w:sz="0" w:space="0" w:color="auto"/>
      </w:divBdr>
    </w:div>
    <w:div w:id="995038934">
      <w:bodyDiv w:val="1"/>
      <w:marLeft w:val="0"/>
      <w:marRight w:val="0"/>
      <w:marTop w:val="0"/>
      <w:marBottom w:val="0"/>
      <w:divBdr>
        <w:top w:val="none" w:sz="0" w:space="0" w:color="auto"/>
        <w:left w:val="none" w:sz="0" w:space="0" w:color="auto"/>
        <w:bottom w:val="none" w:sz="0" w:space="0" w:color="auto"/>
        <w:right w:val="none" w:sz="0" w:space="0" w:color="auto"/>
      </w:divBdr>
      <w:divsChild>
        <w:div w:id="1054429908">
          <w:marLeft w:val="0"/>
          <w:marRight w:val="0"/>
          <w:marTop w:val="0"/>
          <w:marBottom w:val="0"/>
          <w:divBdr>
            <w:top w:val="none" w:sz="0" w:space="0" w:color="auto"/>
            <w:left w:val="none" w:sz="0" w:space="0" w:color="auto"/>
            <w:bottom w:val="none" w:sz="0" w:space="0" w:color="auto"/>
            <w:right w:val="none" w:sz="0" w:space="0" w:color="auto"/>
          </w:divBdr>
        </w:div>
      </w:divsChild>
    </w:div>
    <w:div w:id="1008560572">
      <w:bodyDiv w:val="1"/>
      <w:marLeft w:val="0"/>
      <w:marRight w:val="0"/>
      <w:marTop w:val="0"/>
      <w:marBottom w:val="0"/>
      <w:divBdr>
        <w:top w:val="none" w:sz="0" w:space="0" w:color="auto"/>
        <w:left w:val="none" w:sz="0" w:space="0" w:color="auto"/>
        <w:bottom w:val="none" w:sz="0" w:space="0" w:color="auto"/>
        <w:right w:val="none" w:sz="0" w:space="0" w:color="auto"/>
      </w:divBdr>
    </w:div>
    <w:div w:id="1207371724">
      <w:bodyDiv w:val="1"/>
      <w:marLeft w:val="0"/>
      <w:marRight w:val="0"/>
      <w:marTop w:val="0"/>
      <w:marBottom w:val="0"/>
      <w:divBdr>
        <w:top w:val="none" w:sz="0" w:space="0" w:color="auto"/>
        <w:left w:val="none" w:sz="0" w:space="0" w:color="auto"/>
        <w:bottom w:val="none" w:sz="0" w:space="0" w:color="auto"/>
        <w:right w:val="none" w:sz="0" w:space="0" w:color="auto"/>
      </w:divBdr>
    </w:div>
    <w:div w:id="1290630529">
      <w:bodyDiv w:val="1"/>
      <w:marLeft w:val="0"/>
      <w:marRight w:val="0"/>
      <w:marTop w:val="0"/>
      <w:marBottom w:val="0"/>
      <w:divBdr>
        <w:top w:val="none" w:sz="0" w:space="0" w:color="auto"/>
        <w:left w:val="none" w:sz="0" w:space="0" w:color="auto"/>
        <w:bottom w:val="none" w:sz="0" w:space="0" w:color="auto"/>
        <w:right w:val="none" w:sz="0" w:space="0" w:color="auto"/>
      </w:divBdr>
    </w:div>
    <w:div w:id="1303080548">
      <w:bodyDiv w:val="1"/>
      <w:marLeft w:val="0"/>
      <w:marRight w:val="0"/>
      <w:marTop w:val="0"/>
      <w:marBottom w:val="0"/>
      <w:divBdr>
        <w:top w:val="none" w:sz="0" w:space="0" w:color="auto"/>
        <w:left w:val="none" w:sz="0" w:space="0" w:color="auto"/>
        <w:bottom w:val="none" w:sz="0" w:space="0" w:color="auto"/>
        <w:right w:val="none" w:sz="0" w:space="0" w:color="auto"/>
      </w:divBdr>
    </w:div>
    <w:div w:id="1339624332">
      <w:bodyDiv w:val="1"/>
      <w:marLeft w:val="0"/>
      <w:marRight w:val="0"/>
      <w:marTop w:val="0"/>
      <w:marBottom w:val="0"/>
      <w:divBdr>
        <w:top w:val="none" w:sz="0" w:space="0" w:color="auto"/>
        <w:left w:val="none" w:sz="0" w:space="0" w:color="auto"/>
        <w:bottom w:val="none" w:sz="0" w:space="0" w:color="auto"/>
        <w:right w:val="none" w:sz="0" w:space="0" w:color="auto"/>
      </w:divBdr>
    </w:div>
    <w:div w:id="1490711210">
      <w:bodyDiv w:val="1"/>
      <w:marLeft w:val="0"/>
      <w:marRight w:val="0"/>
      <w:marTop w:val="0"/>
      <w:marBottom w:val="0"/>
      <w:divBdr>
        <w:top w:val="none" w:sz="0" w:space="0" w:color="auto"/>
        <w:left w:val="none" w:sz="0" w:space="0" w:color="auto"/>
        <w:bottom w:val="none" w:sz="0" w:space="0" w:color="auto"/>
        <w:right w:val="none" w:sz="0" w:space="0" w:color="auto"/>
      </w:divBdr>
    </w:div>
    <w:div w:id="1564291436">
      <w:bodyDiv w:val="1"/>
      <w:marLeft w:val="0"/>
      <w:marRight w:val="0"/>
      <w:marTop w:val="0"/>
      <w:marBottom w:val="0"/>
      <w:divBdr>
        <w:top w:val="none" w:sz="0" w:space="0" w:color="auto"/>
        <w:left w:val="none" w:sz="0" w:space="0" w:color="auto"/>
        <w:bottom w:val="none" w:sz="0" w:space="0" w:color="auto"/>
        <w:right w:val="none" w:sz="0" w:space="0" w:color="auto"/>
      </w:divBdr>
      <w:divsChild>
        <w:div w:id="723482287">
          <w:marLeft w:val="0"/>
          <w:marRight w:val="0"/>
          <w:marTop w:val="0"/>
          <w:marBottom w:val="0"/>
          <w:divBdr>
            <w:top w:val="none" w:sz="0" w:space="0" w:color="auto"/>
            <w:left w:val="none" w:sz="0" w:space="0" w:color="auto"/>
            <w:bottom w:val="none" w:sz="0" w:space="0" w:color="auto"/>
            <w:right w:val="none" w:sz="0" w:space="0" w:color="auto"/>
          </w:divBdr>
        </w:div>
        <w:div w:id="904604340">
          <w:marLeft w:val="0"/>
          <w:marRight w:val="0"/>
          <w:marTop w:val="0"/>
          <w:marBottom w:val="0"/>
          <w:divBdr>
            <w:top w:val="none" w:sz="0" w:space="0" w:color="auto"/>
            <w:left w:val="none" w:sz="0" w:space="0" w:color="auto"/>
            <w:bottom w:val="none" w:sz="0" w:space="0" w:color="auto"/>
            <w:right w:val="none" w:sz="0" w:space="0" w:color="auto"/>
          </w:divBdr>
        </w:div>
        <w:div w:id="1112941865">
          <w:marLeft w:val="0"/>
          <w:marRight w:val="0"/>
          <w:marTop w:val="0"/>
          <w:marBottom w:val="0"/>
          <w:divBdr>
            <w:top w:val="none" w:sz="0" w:space="0" w:color="auto"/>
            <w:left w:val="none" w:sz="0" w:space="0" w:color="auto"/>
            <w:bottom w:val="none" w:sz="0" w:space="0" w:color="auto"/>
            <w:right w:val="none" w:sz="0" w:space="0" w:color="auto"/>
          </w:divBdr>
          <w:divsChild>
            <w:div w:id="1785298808">
              <w:marLeft w:val="-75"/>
              <w:marRight w:val="0"/>
              <w:marTop w:val="30"/>
              <w:marBottom w:val="30"/>
              <w:divBdr>
                <w:top w:val="none" w:sz="0" w:space="0" w:color="auto"/>
                <w:left w:val="none" w:sz="0" w:space="0" w:color="auto"/>
                <w:bottom w:val="none" w:sz="0" w:space="0" w:color="auto"/>
                <w:right w:val="none" w:sz="0" w:space="0" w:color="auto"/>
              </w:divBdr>
              <w:divsChild>
                <w:div w:id="334721984">
                  <w:marLeft w:val="0"/>
                  <w:marRight w:val="0"/>
                  <w:marTop w:val="0"/>
                  <w:marBottom w:val="0"/>
                  <w:divBdr>
                    <w:top w:val="none" w:sz="0" w:space="0" w:color="auto"/>
                    <w:left w:val="none" w:sz="0" w:space="0" w:color="auto"/>
                    <w:bottom w:val="none" w:sz="0" w:space="0" w:color="auto"/>
                    <w:right w:val="none" w:sz="0" w:space="0" w:color="auto"/>
                  </w:divBdr>
                  <w:divsChild>
                    <w:div w:id="2107383694">
                      <w:marLeft w:val="0"/>
                      <w:marRight w:val="0"/>
                      <w:marTop w:val="0"/>
                      <w:marBottom w:val="0"/>
                      <w:divBdr>
                        <w:top w:val="none" w:sz="0" w:space="0" w:color="auto"/>
                        <w:left w:val="none" w:sz="0" w:space="0" w:color="auto"/>
                        <w:bottom w:val="none" w:sz="0" w:space="0" w:color="auto"/>
                        <w:right w:val="none" w:sz="0" w:space="0" w:color="auto"/>
                      </w:divBdr>
                    </w:div>
                  </w:divsChild>
                </w:div>
                <w:div w:id="603074770">
                  <w:marLeft w:val="0"/>
                  <w:marRight w:val="0"/>
                  <w:marTop w:val="0"/>
                  <w:marBottom w:val="0"/>
                  <w:divBdr>
                    <w:top w:val="none" w:sz="0" w:space="0" w:color="auto"/>
                    <w:left w:val="none" w:sz="0" w:space="0" w:color="auto"/>
                    <w:bottom w:val="none" w:sz="0" w:space="0" w:color="auto"/>
                    <w:right w:val="none" w:sz="0" w:space="0" w:color="auto"/>
                  </w:divBdr>
                  <w:divsChild>
                    <w:div w:id="202794622">
                      <w:marLeft w:val="0"/>
                      <w:marRight w:val="0"/>
                      <w:marTop w:val="0"/>
                      <w:marBottom w:val="0"/>
                      <w:divBdr>
                        <w:top w:val="none" w:sz="0" w:space="0" w:color="auto"/>
                        <w:left w:val="none" w:sz="0" w:space="0" w:color="auto"/>
                        <w:bottom w:val="none" w:sz="0" w:space="0" w:color="auto"/>
                        <w:right w:val="none" w:sz="0" w:space="0" w:color="auto"/>
                      </w:divBdr>
                    </w:div>
                  </w:divsChild>
                </w:div>
                <w:div w:id="696582666">
                  <w:marLeft w:val="0"/>
                  <w:marRight w:val="0"/>
                  <w:marTop w:val="0"/>
                  <w:marBottom w:val="0"/>
                  <w:divBdr>
                    <w:top w:val="none" w:sz="0" w:space="0" w:color="auto"/>
                    <w:left w:val="none" w:sz="0" w:space="0" w:color="auto"/>
                    <w:bottom w:val="none" w:sz="0" w:space="0" w:color="auto"/>
                    <w:right w:val="none" w:sz="0" w:space="0" w:color="auto"/>
                  </w:divBdr>
                  <w:divsChild>
                    <w:div w:id="158274395">
                      <w:marLeft w:val="0"/>
                      <w:marRight w:val="0"/>
                      <w:marTop w:val="0"/>
                      <w:marBottom w:val="0"/>
                      <w:divBdr>
                        <w:top w:val="none" w:sz="0" w:space="0" w:color="auto"/>
                        <w:left w:val="none" w:sz="0" w:space="0" w:color="auto"/>
                        <w:bottom w:val="none" w:sz="0" w:space="0" w:color="auto"/>
                        <w:right w:val="none" w:sz="0" w:space="0" w:color="auto"/>
                      </w:divBdr>
                    </w:div>
                  </w:divsChild>
                </w:div>
                <w:div w:id="699890541">
                  <w:marLeft w:val="0"/>
                  <w:marRight w:val="0"/>
                  <w:marTop w:val="0"/>
                  <w:marBottom w:val="0"/>
                  <w:divBdr>
                    <w:top w:val="none" w:sz="0" w:space="0" w:color="auto"/>
                    <w:left w:val="none" w:sz="0" w:space="0" w:color="auto"/>
                    <w:bottom w:val="none" w:sz="0" w:space="0" w:color="auto"/>
                    <w:right w:val="none" w:sz="0" w:space="0" w:color="auto"/>
                  </w:divBdr>
                  <w:divsChild>
                    <w:div w:id="235433739">
                      <w:marLeft w:val="0"/>
                      <w:marRight w:val="0"/>
                      <w:marTop w:val="0"/>
                      <w:marBottom w:val="0"/>
                      <w:divBdr>
                        <w:top w:val="none" w:sz="0" w:space="0" w:color="auto"/>
                        <w:left w:val="none" w:sz="0" w:space="0" w:color="auto"/>
                        <w:bottom w:val="none" w:sz="0" w:space="0" w:color="auto"/>
                        <w:right w:val="none" w:sz="0" w:space="0" w:color="auto"/>
                      </w:divBdr>
                    </w:div>
                  </w:divsChild>
                </w:div>
                <w:div w:id="890920109">
                  <w:marLeft w:val="0"/>
                  <w:marRight w:val="0"/>
                  <w:marTop w:val="0"/>
                  <w:marBottom w:val="0"/>
                  <w:divBdr>
                    <w:top w:val="none" w:sz="0" w:space="0" w:color="auto"/>
                    <w:left w:val="none" w:sz="0" w:space="0" w:color="auto"/>
                    <w:bottom w:val="none" w:sz="0" w:space="0" w:color="auto"/>
                    <w:right w:val="none" w:sz="0" w:space="0" w:color="auto"/>
                  </w:divBdr>
                  <w:divsChild>
                    <w:div w:id="1081564678">
                      <w:marLeft w:val="0"/>
                      <w:marRight w:val="0"/>
                      <w:marTop w:val="0"/>
                      <w:marBottom w:val="0"/>
                      <w:divBdr>
                        <w:top w:val="none" w:sz="0" w:space="0" w:color="auto"/>
                        <w:left w:val="none" w:sz="0" w:space="0" w:color="auto"/>
                        <w:bottom w:val="none" w:sz="0" w:space="0" w:color="auto"/>
                        <w:right w:val="none" w:sz="0" w:space="0" w:color="auto"/>
                      </w:divBdr>
                    </w:div>
                  </w:divsChild>
                </w:div>
                <w:div w:id="1218979221">
                  <w:marLeft w:val="0"/>
                  <w:marRight w:val="0"/>
                  <w:marTop w:val="0"/>
                  <w:marBottom w:val="0"/>
                  <w:divBdr>
                    <w:top w:val="none" w:sz="0" w:space="0" w:color="auto"/>
                    <w:left w:val="none" w:sz="0" w:space="0" w:color="auto"/>
                    <w:bottom w:val="none" w:sz="0" w:space="0" w:color="auto"/>
                    <w:right w:val="none" w:sz="0" w:space="0" w:color="auto"/>
                  </w:divBdr>
                  <w:divsChild>
                    <w:div w:id="1230338592">
                      <w:marLeft w:val="0"/>
                      <w:marRight w:val="0"/>
                      <w:marTop w:val="0"/>
                      <w:marBottom w:val="0"/>
                      <w:divBdr>
                        <w:top w:val="none" w:sz="0" w:space="0" w:color="auto"/>
                        <w:left w:val="none" w:sz="0" w:space="0" w:color="auto"/>
                        <w:bottom w:val="none" w:sz="0" w:space="0" w:color="auto"/>
                        <w:right w:val="none" w:sz="0" w:space="0" w:color="auto"/>
                      </w:divBdr>
                    </w:div>
                  </w:divsChild>
                </w:div>
                <w:div w:id="1234270389">
                  <w:marLeft w:val="0"/>
                  <w:marRight w:val="0"/>
                  <w:marTop w:val="0"/>
                  <w:marBottom w:val="0"/>
                  <w:divBdr>
                    <w:top w:val="none" w:sz="0" w:space="0" w:color="auto"/>
                    <w:left w:val="none" w:sz="0" w:space="0" w:color="auto"/>
                    <w:bottom w:val="none" w:sz="0" w:space="0" w:color="auto"/>
                    <w:right w:val="none" w:sz="0" w:space="0" w:color="auto"/>
                  </w:divBdr>
                  <w:divsChild>
                    <w:div w:id="1555265610">
                      <w:marLeft w:val="0"/>
                      <w:marRight w:val="0"/>
                      <w:marTop w:val="0"/>
                      <w:marBottom w:val="0"/>
                      <w:divBdr>
                        <w:top w:val="none" w:sz="0" w:space="0" w:color="auto"/>
                        <w:left w:val="none" w:sz="0" w:space="0" w:color="auto"/>
                        <w:bottom w:val="none" w:sz="0" w:space="0" w:color="auto"/>
                        <w:right w:val="none" w:sz="0" w:space="0" w:color="auto"/>
                      </w:divBdr>
                    </w:div>
                  </w:divsChild>
                </w:div>
                <w:div w:id="1440642102">
                  <w:marLeft w:val="0"/>
                  <w:marRight w:val="0"/>
                  <w:marTop w:val="0"/>
                  <w:marBottom w:val="0"/>
                  <w:divBdr>
                    <w:top w:val="none" w:sz="0" w:space="0" w:color="auto"/>
                    <w:left w:val="none" w:sz="0" w:space="0" w:color="auto"/>
                    <w:bottom w:val="none" w:sz="0" w:space="0" w:color="auto"/>
                    <w:right w:val="none" w:sz="0" w:space="0" w:color="auto"/>
                  </w:divBdr>
                  <w:divsChild>
                    <w:div w:id="1474904584">
                      <w:marLeft w:val="0"/>
                      <w:marRight w:val="0"/>
                      <w:marTop w:val="0"/>
                      <w:marBottom w:val="0"/>
                      <w:divBdr>
                        <w:top w:val="none" w:sz="0" w:space="0" w:color="auto"/>
                        <w:left w:val="none" w:sz="0" w:space="0" w:color="auto"/>
                        <w:bottom w:val="none" w:sz="0" w:space="0" w:color="auto"/>
                        <w:right w:val="none" w:sz="0" w:space="0" w:color="auto"/>
                      </w:divBdr>
                    </w:div>
                  </w:divsChild>
                </w:div>
                <w:div w:id="1601792244">
                  <w:marLeft w:val="0"/>
                  <w:marRight w:val="0"/>
                  <w:marTop w:val="0"/>
                  <w:marBottom w:val="0"/>
                  <w:divBdr>
                    <w:top w:val="none" w:sz="0" w:space="0" w:color="auto"/>
                    <w:left w:val="none" w:sz="0" w:space="0" w:color="auto"/>
                    <w:bottom w:val="none" w:sz="0" w:space="0" w:color="auto"/>
                    <w:right w:val="none" w:sz="0" w:space="0" w:color="auto"/>
                  </w:divBdr>
                  <w:divsChild>
                    <w:div w:id="780539301">
                      <w:marLeft w:val="0"/>
                      <w:marRight w:val="0"/>
                      <w:marTop w:val="0"/>
                      <w:marBottom w:val="0"/>
                      <w:divBdr>
                        <w:top w:val="none" w:sz="0" w:space="0" w:color="auto"/>
                        <w:left w:val="none" w:sz="0" w:space="0" w:color="auto"/>
                        <w:bottom w:val="none" w:sz="0" w:space="0" w:color="auto"/>
                        <w:right w:val="none" w:sz="0" w:space="0" w:color="auto"/>
                      </w:divBdr>
                    </w:div>
                  </w:divsChild>
                </w:div>
                <w:div w:id="1629164582">
                  <w:marLeft w:val="0"/>
                  <w:marRight w:val="0"/>
                  <w:marTop w:val="0"/>
                  <w:marBottom w:val="0"/>
                  <w:divBdr>
                    <w:top w:val="none" w:sz="0" w:space="0" w:color="auto"/>
                    <w:left w:val="none" w:sz="0" w:space="0" w:color="auto"/>
                    <w:bottom w:val="none" w:sz="0" w:space="0" w:color="auto"/>
                    <w:right w:val="none" w:sz="0" w:space="0" w:color="auto"/>
                  </w:divBdr>
                  <w:divsChild>
                    <w:div w:id="593366430">
                      <w:marLeft w:val="0"/>
                      <w:marRight w:val="0"/>
                      <w:marTop w:val="0"/>
                      <w:marBottom w:val="0"/>
                      <w:divBdr>
                        <w:top w:val="none" w:sz="0" w:space="0" w:color="auto"/>
                        <w:left w:val="none" w:sz="0" w:space="0" w:color="auto"/>
                        <w:bottom w:val="none" w:sz="0" w:space="0" w:color="auto"/>
                        <w:right w:val="none" w:sz="0" w:space="0" w:color="auto"/>
                      </w:divBdr>
                    </w:div>
                  </w:divsChild>
                </w:div>
                <w:div w:id="1800564365">
                  <w:marLeft w:val="0"/>
                  <w:marRight w:val="0"/>
                  <w:marTop w:val="0"/>
                  <w:marBottom w:val="0"/>
                  <w:divBdr>
                    <w:top w:val="none" w:sz="0" w:space="0" w:color="auto"/>
                    <w:left w:val="none" w:sz="0" w:space="0" w:color="auto"/>
                    <w:bottom w:val="none" w:sz="0" w:space="0" w:color="auto"/>
                    <w:right w:val="none" w:sz="0" w:space="0" w:color="auto"/>
                  </w:divBdr>
                  <w:divsChild>
                    <w:div w:id="1872916467">
                      <w:marLeft w:val="0"/>
                      <w:marRight w:val="0"/>
                      <w:marTop w:val="0"/>
                      <w:marBottom w:val="0"/>
                      <w:divBdr>
                        <w:top w:val="none" w:sz="0" w:space="0" w:color="auto"/>
                        <w:left w:val="none" w:sz="0" w:space="0" w:color="auto"/>
                        <w:bottom w:val="none" w:sz="0" w:space="0" w:color="auto"/>
                        <w:right w:val="none" w:sz="0" w:space="0" w:color="auto"/>
                      </w:divBdr>
                    </w:div>
                  </w:divsChild>
                </w:div>
                <w:div w:id="2080520451">
                  <w:marLeft w:val="0"/>
                  <w:marRight w:val="0"/>
                  <w:marTop w:val="0"/>
                  <w:marBottom w:val="0"/>
                  <w:divBdr>
                    <w:top w:val="none" w:sz="0" w:space="0" w:color="auto"/>
                    <w:left w:val="none" w:sz="0" w:space="0" w:color="auto"/>
                    <w:bottom w:val="none" w:sz="0" w:space="0" w:color="auto"/>
                    <w:right w:val="none" w:sz="0" w:space="0" w:color="auto"/>
                  </w:divBdr>
                  <w:divsChild>
                    <w:div w:id="56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21">
          <w:marLeft w:val="0"/>
          <w:marRight w:val="0"/>
          <w:marTop w:val="0"/>
          <w:marBottom w:val="0"/>
          <w:divBdr>
            <w:top w:val="none" w:sz="0" w:space="0" w:color="auto"/>
            <w:left w:val="none" w:sz="0" w:space="0" w:color="auto"/>
            <w:bottom w:val="none" w:sz="0" w:space="0" w:color="auto"/>
            <w:right w:val="none" w:sz="0" w:space="0" w:color="auto"/>
          </w:divBdr>
        </w:div>
        <w:div w:id="1257127946">
          <w:marLeft w:val="0"/>
          <w:marRight w:val="0"/>
          <w:marTop w:val="0"/>
          <w:marBottom w:val="0"/>
          <w:divBdr>
            <w:top w:val="none" w:sz="0" w:space="0" w:color="auto"/>
            <w:left w:val="none" w:sz="0" w:space="0" w:color="auto"/>
            <w:bottom w:val="none" w:sz="0" w:space="0" w:color="auto"/>
            <w:right w:val="none" w:sz="0" w:space="0" w:color="auto"/>
          </w:divBdr>
        </w:div>
        <w:div w:id="1449161451">
          <w:marLeft w:val="0"/>
          <w:marRight w:val="0"/>
          <w:marTop w:val="0"/>
          <w:marBottom w:val="0"/>
          <w:divBdr>
            <w:top w:val="none" w:sz="0" w:space="0" w:color="auto"/>
            <w:left w:val="none" w:sz="0" w:space="0" w:color="auto"/>
            <w:bottom w:val="none" w:sz="0" w:space="0" w:color="auto"/>
            <w:right w:val="none" w:sz="0" w:space="0" w:color="auto"/>
          </w:divBdr>
        </w:div>
        <w:div w:id="1696613569">
          <w:marLeft w:val="0"/>
          <w:marRight w:val="0"/>
          <w:marTop w:val="0"/>
          <w:marBottom w:val="0"/>
          <w:divBdr>
            <w:top w:val="none" w:sz="0" w:space="0" w:color="auto"/>
            <w:left w:val="none" w:sz="0" w:space="0" w:color="auto"/>
            <w:bottom w:val="none" w:sz="0" w:space="0" w:color="auto"/>
            <w:right w:val="none" w:sz="0" w:space="0" w:color="auto"/>
          </w:divBdr>
          <w:divsChild>
            <w:div w:id="963195983">
              <w:marLeft w:val="0"/>
              <w:marRight w:val="0"/>
              <w:marTop w:val="0"/>
              <w:marBottom w:val="0"/>
              <w:divBdr>
                <w:top w:val="none" w:sz="0" w:space="0" w:color="auto"/>
                <w:left w:val="none" w:sz="0" w:space="0" w:color="auto"/>
                <w:bottom w:val="none" w:sz="0" w:space="0" w:color="auto"/>
                <w:right w:val="none" w:sz="0" w:space="0" w:color="auto"/>
              </w:divBdr>
            </w:div>
          </w:divsChild>
        </w:div>
        <w:div w:id="1766271387">
          <w:marLeft w:val="0"/>
          <w:marRight w:val="0"/>
          <w:marTop w:val="0"/>
          <w:marBottom w:val="0"/>
          <w:divBdr>
            <w:top w:val="none" w:sz="0" w:space="0" w:color="auto"/>
            <w:left w:val="none" w:sz="0" w:space="0" w:color="auto"/>
            <w:bottom w:val="none" w:sz="0" w:space="0" w:color="auto"/>
            <w:right w:val="none" w:sz="0" w:space="0" w:color="auto"/>
          </w:divBdr>
          <w:divsChild>
            <w:div w:id="1355035119">
              <w:marLeft w:val="0"/>
              <w:marRight w:val="0"/>
              <w:marTop w:val="0"/>
              <w:marBottom w:val="0"/>
              <w:divBdr>
                <w:top w:val="none" w:sz="0" w:space="0" w:color="auto"/>
                <w:left w:val="none" w:sz="0" w:space="0" w:color="auto"/>
                <w:bottom w:val="none" w:sz="0" w:space="0" w:color="auto"/>
                <w:right w:val="none" w:sz="0" w:space="0" w:color="auto"/>
              </w:divBdr>
            </w:div>
            <w:div w:id="1743023088">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312">
      <w:bodyDiv w:val="1"/>
      <w:marLeft w:val="0"/>
      <w:marRight w:val="0"/>
      <w:marTop w:val="0"/>
      <w:marBottom w:val="0"/>
      <w:divBdr>
        <w:top w:val="none" w:sz="0" w:space="0" w:color="auto"/>
        <w:left w:val="none" w:sz="0" w:space="0" w:color="auto"/>
        <w:bottom w:val="none" w:sz="0" w:space="0" w:color="auto"/>
        <w:right w:val="none" w:sz="0" w:space="0" w:color="auto"/>
      </w:divBdr>
    </w:div>
    <w:div w:id="1894853158">
      <w:bodyDiv w:val="1"/>
      <w:marLeft w:val="0"/>
      <w:marRight w:val="0"/>
      <w:marTop w:val="0"/>
      <w:marBottom w:val="0"/>
      <w:divBdr>
        <w:top w:val="none" w:sz="0" w:space="0" w:color="auto"/>
        <w:left w:val="none" w:sz="0" w:space="0" w:color="auto"/>
        <w:bottom w:val="none" w:sz="0" w:space="0" w:color="auto"/>
        <w:right w:val="none" w:sz="0" w:space="0" w:color="auto"/>
      </w:divBdr>
      <w:divsChild>
        <w:div w:id="465054376">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sChild>
    </w:div>
    <w:div w:id="1937134413">
      <w:bodyDiv w:val="1"/>
      <w:marLeft w:val="0"/>
      <w:marRight w:val="0"/>
      <w:marTop w:val="0"/>
      <w:marBottom w:val="0"/>
      <w:divBdr>
        <w:top w:val="none" w:sz="0" w:space="0" w:color="auto"/>
        <w:left w:val="none" w:sz="0" w:space="0" w:color="auto"/>
        <w:bottom w:val="none" w:sz="0" w:space="0" w:color="auto"/>
        <w:right w:val="none" w:sz="0" w:space="0" w:color="auto"/>
      </w:divBdr>
    </w:div>
    <w:div w:id="19825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heglobalfund.org/en/funding-model/applying/resourc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F Blue">
      <a:dk1>
        <a:srgbClr val="404040"/>
      </a:dk1>
      <a:lt1>
        <a:sysClr val="window" lastClr="FFFFFF"/>
      </a:lt1>
      <a:dk2>
        <a:srgbClr val="E6EEF6"/>
      </a:dk2>
      <a:lt2>
        <a:srgbClr val="003F72"/>
      </a:lt2>
      <a:accent1>
        <a:srgbClr val="B3CCE4"/>
      </a:accent1>
      <a:accent2>
        <a:srgbClr val="8EB3D7"/>
      </a:accent2>
      <a:accent3>
        <a:srgbClr val="4F8AC1"/>
      </a:accent3>
      <a:accent4>
        <a:srgbClr val="69BE28"/>
      </a:accent4>
      <a:accent5>
        <a:srgbClr val="9A996E"/>
      </a:accent5>
      <a:accent6>
        <a:srgbClr val="C6AC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03ac030-8fc0-429e-a59d-aec15056182b">3NAZ7T4E3CZ3-539361286-737</_dlc_DocId>
    <_dlc_DocIdUrl xmlns="a03ac030-8fc0-429e-a59d-aec15056182b">
      <Url>https://tgf.sharepoint.com/sites/TSA2F1/A2FD/_layouts/15/DocIdRedir.aspx?ID=3NAZ7T4E3CZ3-539361286-737</Url>
      <Description>3NAZ7T4E3CZ3-539361286-737</Description>
    </_dlc_DocIdUrl>
    <Note xmlns="2219519e-2df8-4e68-9bc8-47ece53c63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B2F7-EE4B-4E1C-B442-E5D6994C2EA6}">
  <ds:schemaRefs>
    <ds:schemaRef ds:uri="http://schemas.microsoft.com/sharepoint/v3/contenttype/forms"/>
  </ds:schemaRefs>
</ds:datastoreItem>
</file>

<file path=customXml/itemProps2.xml><?xml version="1.0" encoding="utf-8"?>
<ds:datastoreItem xmlns:ds="http://schemas.openxmlformats.org/officeDocument/2006/customXml" ds:itemID="{D20E6524-65A0-46EE-A501-E21C071131B1}">
  <ds:schemaRefs>
    <ds:schemaRef ds:uri="http://schemas.microsoft.com/office/2006/metadata/properties"/>
    <ds:schemaRef ds:uri="http://schemas.microsoft.com/office/infopath/2007/PartnerControls"/>
    <ds:schemaRef ds:uri="http://schemas.microsoft.com/sharepoint/v4"/>
    <ds:schemaRef ds:uri="a03ac030-8fc0-429e-a59d-aec15056182b"/>
    <ds:schemaRef ds:uri="2219519e-2df8-4e68-9bc8-47ece53c639c"/>
  </ds:schemaRefs>
</ds:datastoreItem>
</file>

<file path=customXml/itemProps3.xml><?xml version="1.0" encoding="utf-8"?>
<ds:datastoreItem xmlns:ds="http://schemas.openxmlformats.org/officeDocument/2006/customXml" ds:itemID="{9FBBF2B5-78E4-41B9-8FAA-28C50DBD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01FE2-5EC3-4D88-AC6A-00D059DFD5E8}">
  <ds:schemaRefs>
    <ds:schemaRef ds:uri="http://schemas.microsoft.com/sharepoint/events"/>
  </ds:schemaRefs>
</ds:datastoreItem>
</file>

<file path=customXml/itemProps5.xml><?xml version="1.0" encoding="utf-8"?>
<ds:datastoreItem xmlns:ds="http://schemas.openxmlformats.org/officeDocument/2006/customXml" ds:itemID="{62ACF72B-CE7F-4F04-9BCB-2FAD8AAD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9444</Words>
  <Characters>53837</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Rojo</dc:creator>
  <cp:keywords/>
  <dc:description/>
  <cp:lastModifiedBy>NPC -NTP</cp:lastModifiedBy>
  <cp:revision>3</cp:revision>
  <cp:lastPrinted>2019-10-31T12:45:00Z</cp:lastPrinted>
  <dcterms:created xsi:type="dcterms:W3CDTF">2020-03-04T15:16:00Z</dcterms:created>
  <dcterms:modified xsi:type="dcterms:W3CDTF">2020-03-04T15:22:00Z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0x010100DB1926E75FE6D448A94BA4FC7E9CAC0400EB82F3FDC0493647B521A7A424B5B012</vt:lpwstr>
  </property>
  <property fmtid="{D5CDD505-2E9C-101B-9397-08002B2CF9AE}" pid="3" name="_dlc_DocId">
    <vt:lpwstr>3NAZ7T4E3CZ3-2063355578-4245</vt:lpwstr>
  </property>
  <property fmtid="{D5CDD505-2E9C-101B-9397-08002B2CF9AE}" pid="4" name="_dlc_DocIdUrl">
    <vt:lpwstr>https://tgf.sharepoint.com/sites/TSA2F1/A2FT/_layouts/15/DocIdRedir.aspx?ID=3NAZ7T4E3CZ3-2063355578-4245, 3NAZ7T4E3CZ3-2063355578-4245</vt:lpwstr>
  </property>
  <property fmtid="{D5CDD505-2E9C-101B-9397-08002B2CF9AE}" pid="5" name="_dlc_DocIdItemGuid">
    <vt:lpwstr>ed70a099-9b0e-4aa6-b15f-e1cc5df20a7b</vt:lpwstr>
  </property>
  <property fmtid="{D5CDD505-2E9C-101B-9397-08002B2CF9AE}" pid="6" name="Order">
    <vt:r8>381600</vt:r8>
  </property>
</Properties>
</file>